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692A8" w14:textId="77777777" w:rsidR="00EE4A9A" w:rsidRPr="00490588" w:rsidRDefault="00EE4A9A" w:rsidP="00EE4A9A">
      <w:pPr>
        <w:rPr>
          <w:rFonts w:ascii="Arial" w:hAnsi="Arial" w:cs="Arial"/>
          <w:sz w:val="20"/>
          <w:szCs w:val="20"/>
        </w:rPr>
      </w:pPr>
    </w:p>
    <w:p w14:paraId="1B238E9A" w14:textId="365249BA" w:rsidR="00BD1CF7" w:rsidRDefault="00BD1CF7" w:rsidP="00F67328">
      <w:pPr>
        <w:spacing w:after="160" w:line="259" w:lineRule="auto"/>
        <w:contextualSpacing/>
        <w:jc w:val="center"/>
        <w:rPr>
          <w:rFonts w:ascii="Arial" w:hAnsi="Arial" w:cs="Arial"/>
          <w:b/>
        </w:rPr>
      </w:pPr>
      <w:r>
        <w:rPr>
          <w:rFonts w:ascii="Arial" w:hAnsi="Arial" w:cs="Arial"/>
          <w:b/>
          <w:noProof/>
          <w:lang w:val="es-CL" w:eastAsia="es-CL"/>
        </w:rPr>
        <w:drawing>
          <wp:inline distT="0" distB="0" distL="0" distR="0" wp14:anchorId="592EFBB8" wp14:editId="6097FE0B">
            <wp:extent cx="3276600" cy="8777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7199" cy="883314"/>
                    </a:xfrm>
                    <a:prstGeom prst="rect">
                      <a:avLst/>
                    </a:prstGeom>
                    <a:noFill/>
                    <a:ln>
                      <a:noFill/>
                    </a:ln>
                  </pic:spPr>
                </pic:pic>
              </a:graphicData>
            </a:graphic>
          </wp:inline>
        </w:drawing>
      </w:r>
    </w:p>
    <w:p w14:paraId="48555F2C" w14:textId="77777777" w:rsidR="00BD1CF7" w:rsidRDefault="00BD1CF7" w:rsidP="00F67328">
      <w:pPr>
        <w:spacing w:after="160" w:line="259" w:lineRule="auto"/>
        <w:contextualSpacing/>
        <w:jc w:val="center"/>
        <w:rPr>
          <w:rFonts w:ascii="Arial" w:hAnsi="Arial" w:cs="Arial"/>
          <w:b/>
        </w:rPr>
      </w:pPr>
    </w:p>
    <w:p w14:paraId="2CD5075B" w14:textId="59772E40" w:rsidR="00EE4A9A" w:rsidRDefault="00EE4A9A" w:rsidP="00F67328">
      <w:pPr>
        <w:spacing w:after="160" w:line="259" w:lineRule="auto"/>
        <w:contextualSpacing/>
        <w:jc w:val="center"/>
        <w:rPr>
          <w:rFonts w:ascii="Arial" w:hAnsi="Arial" w:cs="Arial"/>
          <w:b/>
        </w:rPr>
      </w:pPr>
      <w:r w:rsidRPr="003B1037">
        <w:rPr>
          <w:rFonts w:ascii="Arial" w:hAnsi="Arial" w:cs="Arial"/>
          <w:b/>
        </w:rPr>
        <w:t>Grupo GELL</w:t>
      </w:r>
      <w:r w:rsidR="00F67328">
        <w:rPr>
          <w:rFonts w:ascii="Arial" w:hAnsi="Arial" w:cs="Arial"/>
          <w:b/>
        </w:rPr>
        <w:t xml:space="preserve"> – Proyecto </w:t>
      </w:r>
      <w:proofErr w:type="spellStart"/>
      <w:r w:rsidR="00FD53A4">
        <w:rPr>
          <w:rFonts w:ascii="Arial" w:hAnsi="Arial" w:cs="Arial"/>
          <w:b/>
        </w:rPr>
        <w:t>Tricoleucemia</w:t>
      </w:r>
      <w:proofErr w:type="spellEnd"/>
    </w:p>
    <w:p w14:paraId="407A1559" w14:textId="77777777" w:rsidR="00F67328" w:rsidRDefault="00F67328" w:rsidP="00F67328">
      <w:pPr>
        <w:spacing w:after="160" w:line="259" w:lineRule="auto"/>
        <w:contextualSpacing/>
        <w:jc w:val="center"/>
        <w:rPr>
          <w:rFonts w:ascii="Arial" w:hAnsi="Arial" w:cs="Arial"/>
          <w:b/>
        </w:rPr>
      </w:pPr>
    </w:p>
    <w:p w14:paraId="0387FD1D" w14:textId="79BE003A" w:rsidR="00EE4A9A" w:rsidRPr="004662BE" w:rsidRDefault="00EE4A9A" w:rsidP="00EE4A9A">
      <w:pPr>
        <w:ind w:right="13"/>
        <w:jc w:val="both"/>
        <w:rPr>
          <w:rFonts w:ascii="Arial" w:hAnsi="Arial" w:cs="Arial"/>
          <w:b/>
          <w:bCs/>
        </w:rPr>
      </w:pPr>
      <w:r w:rsidRPr="004662BE">
        <w:rPr>
          <w:rFonts w:ascii="Arial" w:hAnsi="Arial" w:cs="Arial"/>
          <w:b/>
          <w:bCs/>
        </w:rPr>
        <w:t>Análisis</w:t>
      </w:r>
      <w:r w:rsidR="00FD53A4">
        <w:rPr>
          <w:rFonts w:ascii="Arial" w:hAnsi="Arial" w:cs="Arial"/>
          <w:b/>
          <w:bCs/>
        </w:rPr>
        <w:t xml:space="preserve"> de las características y </w:t>
      </w:r>
      <w:r w:rsidRPr="004662BE">
        <w:rPr>
          <w:rFonts w:ascii="Arial" w:hAnsi="Arial" w:cs="Arial"/>
          <w:b/>
          <w:bCs/>
        </w:rPr>
        <w:t xml:space="preserve"> de los desen</w:t>
      </w:r>
      <w:r w:rsidR="00FD53A4">
        <w:rPr>
          <w:rFonts w:ascii="Arial" w:hAnsi="Arial" w:cs="Arial"/>
          <w:b/>
          <w:bCs/>
        </w:rPr>
        <w:t>laces del tratamiento</w:t>
      </w:r>
      <w:r w:rsidRPr="004662BE">
        <w:rPr>
          <w:rFonts w:ascii="Arial" w:hAnsi="Arial" w:cs="Arial"/>
          <w:b/>
          <w:bCs/>
        </w:rPr>
        <w:t xml:space="preserve"> en pacientes con </w:t>
      </w:r>
      <w:proofErr w:type="spellStart"/>
      <w:r w:rsidR="00FD53A4">
        <w:rPr>
          <w:rFonts w:ascii="Arial" w:hAnsi="Arial" w:cs="Arial"/>
          <w:b/>
          <w:bCs/>
        </w:rPr>
        <w:t>Tricoleucemia</w:t>
      </w:r>
      <w:proofErr w:type="spellEnd"/>
      <w:r w:rsidR="00FD53A4">
        <w:rPr>
          <w:rFonts w:ascii="Arial" w:hAnsi="Arial" w:cs="Arial"/>
          <w:b/>
          <w:bCs/>
        </w:rPr>
        <w:t xml:space="preserve"> </w:t>
      </w:r>
      <w:r w:rsidRPr="004662BE">
        <w:rPr>
          <w:rFonts w:ascii="Arial" w:hAnsi="Arial" w:cs="Arial"/>
          <w:b/>
          <w:bCs/>
        </w:rPr>
        <w:t>atendidos en Centros de Referencia O</w:t>
      </w:r>
      <w:r w:rsidR="00FD53A4">
        <w:rPr>
          <w:rFonts w:ascii="Arial" w:hAnsi="Arial" w:cs="Arial"/>
          <w:b/>
          <w:bCs/>
        </w:rPr>
        <w:t>ncológicos en Latinoamérica 2010-2022</w:t>
      </w:r>
    </w:p>
    <w:p w14:paraId="1305E6DA" w14:textId="77777777" w:rsidR="00EE4A9A" w:rsidRDefault="00EE4A9A" w:rsidP="00EE4A9A">
      <w:pPr>
        <w:ind w:right="13"/>
        <w:jc w:val="both"/>
        <w:rPr>
          <w:rFonts w:ascii="Arial" w:hAnsi="Arial" w:cs="Arial"/>
          <w:sz w:val="20"/>
          <w:szCs w:val="20"/>
        </w:rPr>
      </w:pPr>
    </w:p>
    <w:p w14:paraId="6475FE34" w14:textId="77777777" w:rsidR="00EE4A9A" w:rsidRPr="00490588" w:rsidRDefault="00EE4A9A" w:rsidP="00EE4A9A">
      <w:pPr>
        <w:ind w:right="13"/>
        <w:jc w:val="both"/>
        <w:rPr>
          <w:rFonts w:ascii="Arial" w:hAnsi="Arial" w:cs="Arial"/>
          <w:b/>
          <w:sz w:val="20"/>
          <w:szCs w:val="20"/>
        </w:rPr>
      </w:pPr>
      <w:r w:rsidRPr="00490588">
        <w:rPr>
          <w:rFonts w:ascii="Arial" w:hAnsi="Arial" w:cs="Arial"/>
          <w:b/>
          <w:sz w:val="20"/>
          <w:szCs w:val="20"/>
        </w:rPr>
        <w:t>TÍTULO CORTO DEL PROYECTO</w:t>
      </w:r>
    </w:p>
    <w:p w14:paraId="1DA5F5E5" w14:textId="77777777" w:rsidR="00EE4A9A" w:rsidRPr="00490588" w:rsidRDefault="00EE4A9A" w:rsidP="00EE4A9A">
      <w:pPr>
        <w:ind w:right="13"/>
        <w:jc w:val="both"/>
        <w:rPr>
          <w:rFonts w:ascii="Arial" w:hAnsi="Arial" w:cs="Arial"/>
          <w:sz w:val="20"/>
          <w:szCs w:val="20"/>
        </w:rPr>
      </w:pPr>
    </w:p>
    <w:p w14:paraId="02D72657" w14:textId="71D410B8" w:rsidR="00EE4A9A" w:rsidRDefault="00FD53A4" w:rsidP="00EE4A9A">
      <w:pPr>
        <w:ind w:right="13"/>
        <w:jc w:val="both"/>
        <w:rPr>
          <w:rFonts w:ascii="Arial" w:hAnsi="Arial" w:cs="Arial"/>
          <w:sz w:val="20"/>
          <w:szCs w:val="20"/>
        </w:rPr>
      </w:pPr>
      <w:proofErr w:type="spellStart"/>
      <w:r>
        <w:rPr>
          <w:rFonts w:ascii="Arial" w:hAnsi="Arial" w:cs="Arial"/>
          <w:sz w:val="20"/>
          <w:szCs w:val="20"/>
        </w:rPr>
        <w:t>Tricoleucemia</w:t>
      </w:r>
      <w:proofErr w:type="spellEnd"/>
      <w:r w:rsidR="00EE4A9A">
        <w:rPr>
          <w:rFonts w:ascii="Arial" w:hAnsi="Arial" w:cs="Arial"/>
          <w:sz w:val="20"/>
          <w:szCs w:val="20"/>
        </w:rPr>
        <w:t xml:space="preserve"> en Latinoamérica </w:t>
      </w:r>
    </w:p>
    <w:p w14:paraId="27D0E147" w14:textId="135F17B8" w:rsidR="00BD1CF7" w:rsidRDefault="00BD1CF7" w:rsidP="00EE4A9A">
      <w:pPr>
        <w:ind w:right="13"/>
        <w:jc w:val="both"/>
        <w:rPr>
          <w:rFonts w:ascii="Arial" w:hAnsi="Arial" w:cs="Arial"/>
          <w:sz w:val="20"/>
          <w:szCs w:val="20"/>
        </w:rPr>
      </w:pPr>
    </w:p>
    <w:p w14:paraId="421DA6CA" w14:textId="4F194667" w:rsidR="00BD1CF7" w:rsidRDefault="00FD53A4" w:rsidP="00EE4A9A">
      <w:pPr>
        <w:ind w:right="13"/>
        <w:jc w:val="both"/>
        <w:rPr>
          <w:rFonts w:ascii="Arial" w:hAnsi="Arial" w:cs="Arial"/>
          <w:sz w:val="20"/>
          <w:szCs w:val="20"/>
        </w:rPr>
      </w:pPr>
      <w:r>
        <w:rPr>
          <w:rFonts w:ascii="Arial" w:hAnsi="Arial" w:cs="Arial"/>
          <w:sz w:val="20"/>
          <w:szCs w:val="20"/>
        </w:rPr>
        <w:t>Macarena Roa- Chile</w:t>
      </w:r>
    </w:p>
    <w:p w14:paraId="02CD39B1" w14:textId="77777777" w:rsidR="00FD53A4" w:rsidRDefault="00FD53A4" w:rsidP="00EE4A9A">
      <w:pPr>
        <w:ind w:right="13"/>
        <w:jc w:val="both"/>
        <w:rPr>
          <w:rFonts w:ascii="Arial" w:hAnsi="Arial" w:cs="Arial"/>
          <w:sz w:val="20"/>
          <w:szCs w:val="20"/>
        </w:rPr>
      </w:pPr>
      <w:r>
        <w:rPr>
          <w:rFonts w:ascii="Arial" w:hAnsi="Arial" w:cs="Arial"/>
          <w:sz w:val="20"/>
          <w:szCs w:val="20"/>
        </w:rPr>
        <w:t>Gonzalo Villarroel – Chile</w:t>
      </w:r>
    </w:p>
    <w:p w14:paraId="2B693475" w14:textId="09F44481" w:rsidR="00BD1CF7" w:rsidRPr="00490588" w:rsidRDefault="00FD53A4" w:rsidP="00EE4A9A">
      <w:pPr>
        <w:ind w:right="13"/>
        <w:jc w:val="both"/>
        <w:rPr>
          <w:rFonts w:ascii="Arial" w:hAnsi="Arial" w:cs="Arial"/>
          <w:sz w:val="20"/>
          <w:szCs w:val="20"/>
        </w:rPr>
      </w:pPr>
      <w:r>
        <w:rPr>
          <w:rFonts w:ascii="Arial" w:hAnsi="Arial" w:cs="Arial"/>
          <w:sz w:val="20"/>
          <w:szCs w:val="20"/>
        </w:rPr>
        <w:t>Camila Peña - Chile</w:t>
      </w:r>
      <w:r w:rsidR="00BD1CF7">
        <w:rPr>
          <w:rFonts w:ascii="Arial" w:hAnsi="Arial" w:cs="Arial"/>
          <w:sz w:val="20"/>
          <w:szCs w:val="20"/>
        </w:rPr>
        <w:t xml:space="preserve"> </w:t>
      </w:r>
    </w:p>
    <w:p w14:paraId="12E68A69" w14:textId="77777777" w:rsidR="00EE4A9A" w:rsidRPr="00490588" w:rsidRDefault="00EE4A9A" w:rsidP="00EE4A9A">
      <w:pPr>
        <w:ind w:right="13"/>
        <w:jc w:val="both"/>
        <w:rPr>
          <w:rFonts w:ascii="Arial" w:hAnsi="Arial" w:cs="Arial"/>
          <w:b/>
          <w:sz w:val="20"/>
          <w:szCs w:val="20"/>
        </w:rPr>
      </w:pPr>
    </w:p>
    <w:p w14:paraId="5569017B" w14:textId="77777777" w:rsidR="00EE4A9A" w:rsidRPr="00126B1C" w:rsidRDefault="00EE4A9A" w:rsidP="00EE4A9A">
      <w:pPr>
        <w:ind w:right="13"/>
        <w:jc w:val="both"/>
        <w:outlineLvl w:val="0"/>
        <w:rPr>
          <w:rFonts w:ascii="Arial" w:hAnsi="Arial" w:cs="Arial"/>
          <w:b/>
          <w:sz w:val="20"/>
          <w:szCs w:val="20"/>
        </w:rPr>
      </w:pPr>
    </w:p>
    <w:p w14:paraId="386AB7F5" w14:textId="77777777" w:rsidR="00EE4A9A" w:rsidRPr="00126B1C" w:rsidRDefault="00EE4A9A" w:rsidP="00EE4A9A">
      <w:pPr>
        <w:pStyle w:val="Default"/>
        <w:rPr>
          <w:b/>
          <w:bCs/>
          <w:sz w:val="20"/>
          <w:szCs w:val="20"/>
        </w:rPr>
      </w:pPr>
      <w:r w:rsidRPr="00126B1C">
        <w:rPr>
          <w:b/>
          <w:bCs/>
          <w:sz w:val="20"/>
          <w:szCs w:val="20"/>
        </w:rPr>
        <w:t xml:space="preserve">Problema </w:t>
      </w:r>
    </w:p>
    <w:p w14:paraId="711FF789" w14:textId="77777777" w:rsidR="00EE4A9A" w:rsidRPr="00126B1C" w:rsidRDefault="00EE4A9A" w:rsidP="00EE4A9A">
      <w:pPr>
        <w:pStyle w:val="Default"/>
        <w:rPr>
          <w:sz w:val="20"/>
          <w:szCs w:val="20"/>
        </w:rPr>
      </w:pPr>
    </w:p>
    <w:p w14:paraId="5D54FFE3" w14:textId="46166131" w:rsidR="00FD53A4" w:rsidRPr="00767494" w:rsidRDefault="00FD53A4" w:rsidP="00767494">
      <w:pPr>
        <w:ind w:right="13"/>
        <w:jc w:val="both"/>
        <w:rPr>
          <w:rFonts w:ascii="Arial" w:hAnsi="Arial" w:cs="Arial"/>
          <w:sz w:val="20"/>
          <w:szCs w:val="20"/>
        </w:rPr>
      </w:pPr>
      <w:r w:rsidRPr="00767494">
        <w:rPr>
          <w:rFonts w:ascii="Arial" w:hAnsi="Arial" w:cs="Arial"/>
          <w:sz w:val="20"/>
          <w:szCs w:val="20"/>
        </w:rPr>
        <w:t xml:space="preserve">La </w:t>
      </w:r>
      <w:proofErr w:type="spellStart"/>
      <w:r w:rsidR="00D5663B" w:rsidRPr="00767494">
        <w:rPr>
          <w:rFonts w:ascii="Arial" w:hAnsi="Arial" w:cs="Arial"/>
          <w:sz w:val="20"/>
          <w:szCs w:val="20"/>
        </w:rPr>
        <w:t>Tricoleucemia</w:t>
      </w:r>
      <w:proofErr w:type="spellEnd"/>
      <w:r w:rsidR="00D5663B" w:rsidRPr="00767494">
        <w:rPr>
          <w:rFonts w:ascii="Arial" w:hAnsi="Arial" w:cs="Arial"/>
          <w:sz w:val="20"/>
          <w:szCs w:val="20"/>
        </w:rPr>
        <w:t xml:space="preserve"> es un síndrome </w:t>
      </w:r>
      <w:proofErr w:type="spellStart"/>
      <w:r w:rsidRPr="00767494">
        <w:rPr>
          <w:rFonts w:ascii="Arial" w:hAnsi="Arial" w:cs="Arial"/>
          <w:sz w:val="20"/>
          <w:szCs w:val="20"/>
        </w:rPr>
        <w:t>linfoproliferat</w:t>
      </w:r>
      <w:r w:rsidR="00D5663B" w:rsidRPr="00767494">
        <w:rPr>
          <w:rFonts w:ascii="Arial" w:hAnsi="Arial" w:cs="Arial"/>
          <w:sz w:val="20"/>
          <w:szCs w:val="20"/>
        </w:rPr>
        <w:t>ivo</w:t>
      </w:r>
      <w:proofErr w:type="spellEnd"/>
      <w:r w:rsidRPr="00767494">
        <w:rPr>
          <w:rFonts w:ascii="Arial" w:hAnsi="Arial" w:cs="Arial"/>
          <w:sz w:val="20"/>
          <w:szCs w:val="20"/>
        </w:rPr>
        <w:t>, de curso indolente, que c</w:t>
      </w:r>
      <w:r w:rsidR="00D5663B" w:rsidRPr="00767494">
        <w:rPr>
          <w:rFonts w:ascii="Arial" w:hAnsi="Arial" w:cs="Arial"/>
          <w:sz w:val="20"/>
          <w:szCs w:val="20"/>
        </w:rPr>
        <w:t>o</w:t>
      </w:r>
      <w:r w:rsidR="00E4098C">
        <w:rPr>
          <w:rFonts w:ascii="Arial" w:hAnsi="Arial" w:cs="Arial"/>
          <w:sz w:val="20"/>
          <w:szCs w:val="20"/>
        </w:rPr>
        <w:t>nstituye el 2% de las leucemias del adulto</w:t>
      </w:r>
      <w:r w:rsidRPr="00767494">
        <w:rPr>
          <w:rFonts w:ascii="Arial" w:hAnsi="Arial" w:cs="Arial"/>
          <w:sz w:val="20"/>
          <w:szCs w:val="20"/>
        </w:rPr>
        <w:t>. Clínicamente se caracteriza por presentar síntomas como astenia, y fatigabilidad,</w:t>
      </w:r>
      <w:r w:rsidR="00D5663B" w:rsidRPr="00767494">
        <w:rPr>
          <w:rFonts w:ascii="Arial" w:hAnsi="Arial" w:cs="Arial"/>
          <w:sz w:val="20"/>
          <w:szCs w:val="20"/>
        </w:rPr>
        <w:t xml:space="preserve"> la mayoría de ellas</w:t>
      </w:r>
      <w:r w:rsidRPr="00767494">
        <w:rPr>
          <w:rFonts w:ascii="Arial" w:hAnsi="Arial" w:cs="Arial"/>
          <w:sz w:val="20"/>
          <w:szCs w:val="20"/>
        </w:rPr>
        <w:t xml:space="preserve"> presentan una esplenomegalia importante</w:t>
      </w:r>
      <w:r w:rsidR="0099159D">
        <w:rPr>
          <w:rFonts w:ascii="Arial" w:hAnsi="Arial" w:cs="Arial"/>
          <w:sz w:val="20"/>
          <w:szCs w:val="20"/>
        </w:rPr>
        <w:t xml:space="preserve">, presencia de </w:t>
      </w:r>
      <w:proofErr w:type="spellStart"/>
      <w:r w:rsidR="0099159D">
        <w:rPr>
          <w:rFonts w:ascii="Arial" w:hAnsi="Arial" w:cs="Arial"/>
          <w:sz w:val="20"/>
          <w:szCs w:val="20"/>
        </w:rPr>
        <w:t>citopenias</w:t>
      </w:r>
      <w:proofErr w:type="spellEnd"/>
      <w:r w:rsidRPr="00767494">
        <w:rPr>
          <w:rFonts w:ascii="Arial" w:hAnsi="Arial" w:cs="Arial"/>
          <w:sz w:val="20"/>
          <w:szCs w:val="20"/>
        </w:rPr>
        <w:t xml:space="preserve"> y gran susceptibilidad a infecciones oportunistas.</w:t>
      </w:r>
    </w:p>
    <w:p w14:paraId="20E9849A" w14:textId="5BF0803C" w:rsidR="00FD53A4" w:rsidRPr="00767494" w:rsidRDefault="00FD53A4" w:rsidP="00767494">
      <w:pPr>
        <w:ind w:right="13"/>
        <w:jc w:val="both"/>
        <w:rPr>
          <w:rFonts w:ascii="Arial" w:hAnsi="Arial" w:cs="Arial"/>
          <w:sz w:val="20"/>
          <w:szCs w:val="20"/>
        </w:rPr>
      </w:pPr>
      <w:r w:rsidRPr="00767494">
        <w:rPr>
          <w:rFonts w:ascii="Arial" w:hAnsi="Arial" w:cs="Arial"/>
          <w:sz w:val="20"/>
          <w:szCs w:val="20"/>
        </w:rPr>
        <w:t xml:space="preserve">El diagnóstico se basa en </w:t>
      </w:r>
      <w:r w:rsidR="00D5663B" w:rsidRPr="00767494">
        <w:rPr>
          <w:rFonts w:ascii="Arial" w:hAnsi="Arial" w:cs="Arial"/>
          <w:sz w:val="20"/>
          <w:szCs w:val="20"/>
        </w:rPr>
        <w:t xml:space="preserve"> el </w:t>
      </w:r>
      <w:r w:rsidRPr="00767494">
        <w:rPr>
          <w:rFonts w:ascii="Arial" w:hAnsi="Arial" w:cs="Arial"/>
          <w:sz w:val="20"/>
          <w:szCs w:val="20"/>
        </w:rPr>
        <w:t xml:space="preserve">estudio de sangre periférica /Médula ósea, </w:t>
      </w:r>
      <w:r w:rsidR="00D5663B" w:rsidRPr="00767494">
        <w:rPr>
          <w:rFonts w:ascii="Arial" w:hAnsi="Arial" w:cs="Arial"/>
          <w:sz w:val="20"/>
          <w:szCs w:val="20"/>
        </w:rPr>
        <w:t xml:space="preserve"> que detecta linfocitos anormales, habitualmente con prolongaciones citoplasmáticas </w:t>
      </w:r>
      <w:proofErr w:type="gramStart"/>
      <w:r w:rsidR="00D5663B" w:rsidRPr="00767494">
        <w:rPr>
          <w:rFonts w:ascii="Arial" w:hAnsi="Arial" w:cs="Arial"/>
          <w:sz w:val="20"/>
          <w:szCs w:val="20"/>
        </w:rPr>
        <w:t xml:space="preserve">características </w:t>
      </w:r>
      <w:r w:rsidRPr="00767494">
        <w:rPr>
          <w:rFonts w:ascii="Arial" w:hAnsi="Arial" w:cs="Arial"/>
          <w:sz w:val="20"/>
          <w:szCs w:val="20"/>
        </w:rPr>
        <w:t>.</w:t>
      </w:r>
      <w:proofErr w:type="gramEnd"/>
      <w:r w:rsidRPr="00767494">
        <w:rPr>
          <w:rFonts w:ascii="Arial" w:hAnsi="Arial" w:cs="Arial"/>
          <w:sz w:val="20"/>
          <w:szCs w:val="20"/>
        </w:rPr>
        <w:t xml:space="preserve"> </w:t>
      </w:r>
      <w:r w:rsidR="00D5663B" w:rsidRPr="00767494">
        <w:rPr>
          <w:rFonts w:ascii="Arial" w:hAnsi="Arial" w:cs="Arial"/>
          <w:sz w:val="20"/>
          <w:szCs w:val="20"/>
        </w:rPr>
        <w:t xml:space="preserve"> La confirmación diagnóstica se realiza mediante </w:t>
      </w:r>
      <w:proofErr w:type="spellStart"/>
      <w:r w:rsidRPr="00767494">
        <w:rPr>
          <w:rFonts w:ascii="Arial" w:hAnsi="Arial" w:cs="Arial"/>
          <w:sz w:val="20"/>
          <w:szCs w:val="20"/>
        </w:rPr>
        <w:t>citometría</w:t>
      </w:r>
      <w:proofErr w:type="spellEnd"/>
      <w:r w:rsidRPr="00767494">
        <w:rPr>
          <w:rFonts w:ascii="Arial" w:hAnsi="Arial" w:cs="Arial"/>
          <w:sz w:val="20"/>
          <w:szCs w:val="20"/>
        </w:rPr>
        <w:t xml:space="preserve"> de flujo</w:t>
      </w:r>
      <w:r w:rsidR="0099159D">
        <w:rPr>
          <w:rFonts w:ascii="Arial" w:hAnsi="Arial" w:cs="Arial"/>
          <w:sz w:val="20"/>
          <w:szCs w:val="20"/>
        </w:rPr>
        <w:t xml:space="preserve"> </w:t>
      </w:r>
      <w:proofErr w:type="gramStart"/>
      <w:r w:rsidR="0099159D">
        <w:rPr>
          <w:rFonts w:ascii="Arial" w:hAnsi="Arial" w:cs="Arial"/>
          <w:sz w:val="20"/>
          <w:szCs w:val="20"/>
        </w:rPr>
        <w:t>( presencia</w:t>
      </w:r>
      <w:proofErr w:type="gramEnd"/>
      <w:r w:rsidR="0099159D">
        <w:rPr>
          <w:rFonts w:ascii="Arial" w:hAnsi="Arial" w:cs="Arial"/>
          <w:sz w:val="20"/>
          <w:szCs w:val="20"/>
        </w:rPr>
        <w:t xml:space="preserve"> de células CD103 + CD25+ CD11c+ CD20 + )</w:t>
      </w:r>
      <w:r w:rsidRPr="00767494">
        <w:rPr>
          <w:rFonts w:ascii="Arial" w:hAnsi="Arial" w:cs="Arial"/>
          <w:sz w:val="20"/>
          <w:szCs w:val="20"/>
        </w:rPr>
        <w:t xml:space="preserve"> y la biopsia de médula ósea</w:t>
      </w:r>
      <w:r w:rsidR="0099159D">
        <w:rPr>
          <w:rFonts w:ascii="Arial" w:hAnsi="Arial" w:cs="Arial"/>
          <w:sz w:val="20"/>
          <w:szCs w:val="20"/>
        </w:rPr>
        <w:t xml:space="preserve"> (</w:t>
      </w:r>
      <w:proofErr w:type="spellStart"/>
      <w:r w:rsidR="0099159D">
        <w:rPr>
          <w:rFonts w:ascii="Arial" w:hAnsi="Arial" w:cs="Arial"/>
          <w:sz w:val="20"/>
          <w:szCs w:val="20"/>
        </w:rPr>
        <w:t>anexina</w:t>
      </w:r>
      <w:proofErr w:type="spellEnd"/>
      <w:r w:rsidR="0099159D">
        <w:rPr>
          <w:rFonts w:ascii="Arial" w:hAnsi="Arial" w:cs="Arial"/>
          <w:sz w:val="20"/>
          <w:szCs w:val="20"/>
        </w:rPr>
        <w:t xml:space="preserve"> D1 + ) </w:t>
      </w:r>
      <w:r w:rsidRPr="00767494">
        <w:rPr>
          <w:rFonts w:ascii="Arial" w:hAnsi="Arial" w:cs="Arial"/>
          <w:sz w:val="20"/>
          <w:szCs w:val="20"/>
        </w:rPr>
        <w:t>.</w:t>
      </w:r>
    </w:p>
    <w:p w14:paraId="7268322F" w14:textId="589597F7" w:rsidR="00EE4A9A" w:rsidRPr="00767494" w:rsidRDefault="00FD53A4" w:rsidP="00767494">
      <w:pPr>
        <w:ind w:right="13"/>
        <w:jc w:val="both"/>
        <w:rPr>
          <w:rFonts w:ascii="Arial" w:hAnsi="Arial" w:cs="Arial"/>
          <w:sz w:val="20"/>
          <w:szCs w:val="20"/>
        </w:rPr>
      </w:pPr>
      <w:r w:rsidRPr="00767494">
        <w:rPr>
          <w:rFonts w:ascii="Arial" w:hAnsi="Arial" w:cs="Arial"/>
          <w:sz w:val="20"/>
          <w:szCs w:val="20"/>
        </w:rPr>
        <w:t>En la actualidad</w:t>
      </w:r>
      <w:r w:rsidR="00D5663B" w:rsidRPr="00767494">
        <w:rPr>
          <w:rFonts w:ascii="Arial" w:hAnsi="Arial" w:cs="Arial"/>
          <w:sz w:val="20"/>
          <w:szCs w:val="20"/>
        </w:rPr>
        <w:t xml:space="preserve">, </w:t>
      </w:r>
      <w:r w:rsidRPr="00767494">
        <w:rPr>
          <w:rFonts w:ascii="Arial" w:hAnsi="Arial" w:cs="Arial"/>
          <w:sz w:val="20"/>
          <w:szCs w:val="20"/>
        </w:rPr>
        <w:t xml:space="preserve"> se ha con</w:t>
      </w:r>
      <w:r w:rsidR="00D5663B" w:rsidRPr="00767494">
        <w:rPr>
          <w:rFonts w:ascii="Arial" w:hAnsi="Arial" w:cs="Arial"/>
          <w:sz w:val="20"/>
          <w:szCs w:val="20"/>
        </w:rPr>
        <w:t>vertido en una patología de buen</w:t>
      </w:r>
      <w:r w:rsidRPr="00767494">
        <w:rPr>
          <w:rFonts w:ascii="Arial" w:hAnsi="Arial" w:cs="Arial"/>
          <w:sz w:val="20"/>
          <w:szCs w:val="20"/>
        </w:rPr>
        <w:t xml:space="preserve"> pronóstico, gracias a la incorporación de los análogos de </w:t>
      </w:r>
      <w:r w:rsidR="00D5663B" w:rsidRPr="00767494">
        <w:rPr>
          <w:rFonts w:ascii="Arial" w:hAnsi="Arial" w:cs="Arial"/>
          <w:sz w:val="20"/>
          <w:szCs w:val="20"/>
        </w:rPr>
        <w:t xml:space="preserve">purinas, como lo son: </w:t>
      </w:r>
      <w:proofErr w:type="spellStart"/>
      <w:r w:rsidR="00D5663B" w:rsidRPr="00767494">
        <w:rPr>
          <w:rFonts w:ascii="Arial" w:hAnsi="Arial" w:cs="Arial"/>
          <w:sz w:val="20"/>
          <w:szCs w:val="20"/>
        </w:rPr>
        <w:t>Cladribina</w:t>
      </w:r>
      <w:proofErr w:type="spellEnd"/>
      <w:r w:rsidR="00D5663B" w:rsidRPr="00767494">
        <w:rPr>
          <w:rFonts w:ascii="Arial" w:hAnsi="Arial" w:cs="Arial"/>
          <w:sz w:val="20"/>
          <w:szCs w:val="20"/>
        </w:rPr>
        <w:t xml:space="preserve"> y la </w:t>
      </w:r>
      <w:proofErr w:type="spellStart"/>
      <w:r w:rsidR="00D5663B" w:rsidRPr="00767494">
        <w:rPr>
          <w:rFonts w:ascii="Arial" w:hAnsi="Arial" w:cs="Arial"/>
          <w:sz w:val="20"/>
          <w:szCs w:val="20"/>
        </w:rPr>
        <w:t>Pentostatina</w:t>
      </w:r>
      <w:proofErr w:type="spellEnd"/>
      <w:r w:rsidRPr="00767494">
        <w:rPr>
          <w:rFonts w:ascii="Arial" w:hAnsi="Arial" w:cs="Arial"/>
          <w:sz w:val="20"/>
          <w:szCs w:val="20"/>
        </w:rPr>
        <w:t xml:space="preserve"> con ellos, se ha logrado alcanzar tasas de remisiones completas</w:t>
      </w:r>
      <w:r w:rsidR="00D5663B" w:rsidRPr="00767494">
        <w:rPr>
          <w:rFonts w:ascii="Arial" w:hAnsi="Arial" w:cs="Arial"/>
          <w:sz w:val="20"/>
          <w:szCs w:val="20"/>
        </w:rPr>
        <w:t xml:space="preserve"> cerca de 85</w:t>
      </w:r>
      <w:r w:rsidRPr="00767494">
        <w:rPr>
          <w:rFonts w:ascii="Arial" w:hAnsi="Arial" w:cs="Arial"/>
          <w:sz w:val="20"/>
          <w:szCs w:val="20"/>
        </w:rPr>
        <w:t xml:space="preserve">%, con una sobrevida media de alrededor de 16 años. Las tasas de recaídas oscilan entre el 25 al 30% a los 5 años de seguimiento.  En recaídas el uso de anticuerpos monoclonales anti CD20 ha mejorado el pronóstico, </w:t>
      </w:r>
      <w:r w:rsidR="00D5663B" w:rsidRPr="00767494">
        <w:rPr>
          <w:rFonts w:ascii="Arial" w:hAnsi="Arial" w:cs="Arial"/>
          <w:sz w:val="20"/>
          <w:szCs w:val="20"/>
        </w:rPr>
        <w:t>así</w:t>
      </w:r>
      <w:r w:rsidRPr="00767494">
        <w:rPr>
          <w:rFonts w:ascii="Arial" w:hAnsi="Arial" w:cs="Arial"/>
          <w:sz w:val="20"/>
          <w:szCs w:val="20"/>
        </w:rPr>
        <w:t xml:space="preserve"> como los inhibidores de BRAF. En </w:t>
      </w:r>
      <w:r w:rsidR="00D5663B" w:rsidRPr="00767494">
        <w:rPr>
          <w:rFonts w:ascii="Arial" w:hAnsi="Arial" w:cs="Arial"/>
          <w:sz w:val="20"/>
          <w:szCs w:val="20"/>
        </w:rPr>
        <w:t>Latinoamérica</w:t>
      </w:r>
      <w:r w:rsidRPr="00767494">
        <w:rPr>
          <w:rFonts w:ascii="Arial" w:hAnsi="Arial" w:cs="Arial"/>
          <w:sz w:val="20"/>
          <w:szCs w:val="20"/>
        </w:rPr>
        <w:t xml:space="preserve"> no existe datos epidemiológicos, clínicos ni trabajos con datos actualizados de los resultados a corto y largo plazo de las estrategias terapéuticas, aplicadas a la leucemia de células </w:t>
      </w:r>
      <w:proofErr w:type="gramStart"/>
      <w:r w:rsidRPr="00767494">
        <w:rPr>
          <w:rFonts w:ascii="Arial" w:hAnsi="Arial" w:cs="Arial"/>
          <w:sz w:val="20"/>
          <w:szCs w:val="20"/>
        </w:rPr>
        <w:t>velludas ,</w:t>
      </w:r>
      <w:proofErr w:type="gramEnd"/>
      <w:r w:rsidRPr="00767494">
        <w:rPr>
          <w:rFonts w:ascii="Arial" w:hAnsi="Arial" w:cs="Arial"/>
          <w:sz w:val="20"/>
          <w:szCs w:val="20"/>
        </w:rPr>
        <w:t xml:space="preserve"> ni evaluación de acceso al </w:t>
      </w:r>
      <w:r w:rsidR="00F67328" w:rsidRPr="00767494">
        <w:rPr>
          <w:rFonts w:ascii="Arial" w:hAnsi="Arial" w:cs="Arial"/>
          <w:sz w:val="20"/>
          <w:szCs w:val="20"/>
        </w:rPr>
        <w:t>uso de agentes novedosos</w:t>
      </w:r>
      <w:r w:rsidR="00D5663B" w:rsidRPr="00767494">
        <w:rPr>
          <w:rFonts w:ascii="Arial" w:hAnsi="Arial" w:cs="Arial"/>
          <w:sz w:val="20"/>
          <w:szCs w:val="20"/>
        </w:rPr>
        <w:t>, desenlaces , ni evaluación de complicaciones</w:t>
      </w:r>
      <w:r w:rsidR="00EE4A9A" w:rsidRPr="00767494">
        <w:rPr>
          <w:rFonts w:ascii="Arial" w:hAnsi="Arial" w:cs="Arial"/>
          <w:sz w:val="20"/>
          <w:szCs w:val="20"/>
        </w:rPr>
        <w:t xml:space="preserve">. </w:t>
      </w:r>
    </w:p>
    <w:p w14:paraId="225A392D" w14:textId="77777777" w:rsidR="00EE4A9A" w:rsidRPr="00126B1C" w:rsidRDefault="00EE4A9A" w:rsidP="00EE4A9A">
      <w:pPr>
        <w:pStyle w:val="Prrafodelista"/>
        <w:ind w:left="0" w:right="13"/>
        <w:jc w:val="both"/>
        <w:rPr>
          <w:rFonts w:ascii="Arial" w:hAnsi="Arial" w:cs="Arial"/>
          <w:sz w:val="20"/>
          <w:szCs w:val="20"/>
        </w:rPr>
      </w:pPr>
    </w:p>
    <w:p w14:paraId="7A502FD0" w14:textId="77777777" w:rsidR="00EE4A9A" w:rsidRDefault="00EE4A9A" w:rsidP="00EE4A9A">
      <w:pPr>
        <w:pStyle w:val="Prrafodelista"/>
        <w:ind w:left="0" w:right="13"/>
        <w:jc w:val="both"/>
        <w:rPr>
          <w:rFonts w:ascii="Arial" w:hAnsi="Arial" w:cs="Arial"/>
          <w:b/>
          <w:sz w:val="20"/>
          <w:szCs w:val="20"/>
        </w:rPr>
      </w:pPr>
      <w:r w:rsidRPr="00126B1C">
        <w:rPr>
          <w:rFonts w:ascii="Arial" w:hAnsi="Arial" w:cs="Arial"/>
          <w:b/>
          <w:sz w:val="20"/>
          <w:szCs w:val="20"/>
        </w:rPr>
        <w:t xml:space="preserve">Objetivo general: </w:t>
      </w:r>
    </w:p>
    <w:p w14:paraId="7738AFA2" w14:textId="77777777" w:rsidR="00FD53A4" w:rsidRPr="00126B1C" w:rsidRDefault="00FD53A4" w:rsidP="00EE4A9A">
      <w:pPr>
        <w:pStyle w:val="Prrafodelista"/>
        <w:ind w:left="0" w:right="13"/>
        <w:jc w:val="both"/>
        <w:rPr>
          <w:rFonts w:ascii="Arial" w:hAnsi="Arial" w:cs="Arial"/>
          <w:b/>
          <w:sz w:val="20"/>
          <w:szCs w:val="20"/>
        </w:rPr>
      </w:pPr>
    </w:p>
    <w:p w14:paraId="71472ECD" w14:textId="2F551625" w:rsidR="00EE4A9A" w:rsidRPr="00FD53A4" w:rsidRDefault="00EE4A9A" w:rsidP="00EE4A9A">
      <w:pPr>
        <w:pStyle w:val="Default"/>
        <w:jc w:val="both"/>
        <w:rPr>
          <w:sz w:val="20"/>
          <w:szCs w:val="20"/>
        </w:rPr>
      </w:pPr>
      <w:r w:rsidRPr="00FD53A4">
        <w:rPr>
          <w:sz w:val="20"/>
          <w:szCs w:val="20"/>
        </w:rPr>
        <w:t>Descri</w:t>
      </w:r>
      <w:r w:rsidR="00FD53A4" w:rsidRPr="00FD53A4">
        <w:rPr>
          <w:sz w:val="20"/>
          <w:szCs w:val="20"/>
        </w:rPr>
        <w:t xml:space="preserve">bir las características clínico demográficas </w:t>
      </w:r>
      <w:r w:rsidRPr="00FD53A4">
        <w:rPr>
          <w:sz w:val="20"/>
          <w:szCs w:val="20"/>
        </w:rPr>
        <w:t xml:space="preserve"> y los resultados oncológicos del tratamiento en pacientes con </w:t>
      </w:r>
    </w:p>
    <w:p w14:paraId="52DB7292" w14:textId="05F4A858" w:rsidR="00EE4A9A" w:rsidRPr="00FD53A4" w:rsidRDefault="00FD53A4" w:rsidP="00EE4A9A">
      <w:pPr>
        <w:pStyle w:val="Default"/>
        <w:jc w:val="both"/>
        <w:rPr>
          <w:sz w:val="20"/>
          <w:szCs w:val="20"/>
        </w:rPr>
      </w:pPr>
      <w:proofErr w:type="spellStart"/>
      <w:r w:rsidRPr="00FD53A4">
        <w:rPr>
          <w:sz w:val="20"/>
          <w:szCs w:val="20"/>
        </w:rPr>
        <w:t>Tricoleucemia</w:t>
      </w:r>
      <w:proofErr w:type="spellEnd"/>
      <w:r w:rsidRPr="00FD53A4">
        <w:rPr>
          <w:sz w:val="20"/>
          <w:szCs w:val="20"/>
        </w:rPr>
        <w:t xml:space="preserve"> </w:t>
      </w:r>
      <w:r w:rsidR="00EE4A9A" w:rsidRPr="00FD53A4">
        <w:rPr>
          <w:sz w:val="20"/>
          <w:szCs w:val="20"/>
        </w:rPr>
        <w:t xml:space="preserve">atendidos en Centros de Referencia Oncológicos en Latinoamérica </w:t>
      </w:r>
      <w:r w:rsidR="00F67328" w:rsidRPr="00FD53A4">
        <w:rPr>
          <w:sz w:val="20"/>
          <w:szCs w:val="20"/>
        </w:rPr>
        <w:t xml:space="preserve">que pertenecen al grupo GELL </w:t>
      </w:r>
      <w:r w:rsidR="00EE4A9A" w:rsidRPr="00FD53A4">
        <w:rPr>
          <w:sz w:val="20"/>
          <w:szCs w:val="20"/>
        </w:rPr>
        <w:t>durante el perio</w:t>
      </w:r>
      <w:r w:rsidRPr="00FD53A4">
        <w:rPr>
          <w:sz w:val="20"/>
          <w:szCs w:val="20"/>
        </w:rPr>
        <w:t>do comprendido entre 2010 a 2022</w:t>
      </w:r>
      <w:r w:rsidR="00EE4A9A" w:rsidRPr="00FD53A4">
        <w:rPr>
          <w:sz w:val="20"/>
          <w:szCs w:val="20"/>
        </w:rPr>
        <w:t>.</w:t>
      </w:r>
    </w:p>
    <w:p w14:paraId="568A8503" w14:textId="56ECFD77" w:rsidR="00FD53A4" w:rsidRPr="00FD53A4" w:rsidRDefault="00FD53A4" w:rsidP="00EE4A9A">
      <w:pPr>
        <w:pStyle w:val="Default"/>
        <w:jc w:val="both"/>
        <w:rPr>
          <w:sz w:val="20"/>
          <w:szCs w:val="20"/>
        </w:rPr>
      </w:pPr>
      <w:r w:rsidRPr="00FD53A4">
        <w:rPr>
          <w:sz w:val="20"/>
          <w:szCs w:val="20"/>
        </w:rPr>
        <w:t xml:space="preserve">Evaluar la respuesta del tratamiento inicial y </w:t>
      </w:r>
      <w:r>
        <w:rPr>
          <w:sz w:val="20"/>
          <w:szCs w:val="20"/>
        </w:rPr>
        <w:t>recaída</w:t>
      </w:r>
      <w:r w:rsidRPr="00FD53A4">
        <w:rPr>
          <w:sz w:val="20"/>
          <w:szCs w:val="20"/>
        </w:rPr>
        <w:t xml:space="preserve">, en pacientes diagnosticados con </w:t>
      </w:r>
      <w:proofErr w:type="spellStart"/>
      <w:r w:rsidRPr="00FD53A4">
        <w:rPr>
          <w:sz w:val="20"/>
          <w:szCs w:val="20"/>
        </w:rPr>
        <w:t>Tricoleucemia</w:t>
      </w:r>
      <w:proofErr w:type="spellEnd"/>
      <w:r w:rsidRPr="00FD53A4">
        <w:rPr>
          <w:sz w:val="20"/>
          <w:szCs w:val="20"/>
        </w:rPr>
        <w:t>, en Latinoamérica.</w:t>
      </w:r>
    </w:p>
    <w:p w14:paraId="7DB64643" w14:textId="2688D216" w:rsidR="00FD53A4" w:rsidRPr="00FD53A4" w:rsidRDefault="00FD53A4" w:rsidP="00FD53A4">
      <w:pPr>
        <w:pStyle w:val="Paragraph"/>
        <w:spacing w:before="40" w:after="40"/>
        <w:rPr>
          <w:rFonts w:ascii="Arial" w:hAnsi="Arial" w:cs="Arial"/>
          <w:snapToGrid w:val="0"/>
          <w:color w:val="000000"/>
          <w:sz w:val="20"/>
          <w:lang w:val="es-CL"/>
        </w:rPr>
      </w:pPr>
      <w:r w:rsidRPr="00FD53A4">
        <w:rPr>
          <w:rFonts w:ascii="Arial" w:hAnsi="Arial" w:cs="Arial"/>
          <w:snapToGrid w:val="0"/>
          <w:color w:val="000000"/>
          <w:sz w:val="20"/>
          <w:lang w:val="es-CL"/>
        </w:rPr>
        <w:t>Cuantificar el número de complicaciones y causa de mortalidad en pacientes con Tricoleucemia</w:t>
      </w:r>
    </w:p>
    <w:p w14:paraId="13D84503" w14:textId="038362BF" w:rsidR="00FD53A4" w:rsidRDefault="00FD53A4" w:rsidP="00FD53A4">
      <w:pPr>
        <w:pStyle w:val="Default"/>
        <w:jc w:val="both"/>
        <w:rPr>
          <w:snapToGrid w:val="0"/>
          <w:sz w:val="20"/>
          <w:szCs w:val="20"/>
          <w:lang w:val="es-CL"/>
        </w:rPr>
      </w:pPr>
      <w:r w:rsidRPr="00FD53A4">
        <w:rPr>
          <w:snapToGrid w:val="0"/>
          <w:sz w:val="20"/>
          <w:szCs w:val="20"/>
          <w:lang w:val="es-CL"/>
        </w:rPr>
        <w:t xml:space="preserve">Calcular sobrevida  libre de progresión y sobrevida global a 5  años en pacientes con </w:t>
      </w:r>
      <w:proofErr w:type="spellStart"/>
      <w:r w:rsidRPr="00FD53A4">
        <w:rPr>
          <w:snapToGrid w:val="0"/>
          <w:sz w:val="20"/>
          <w:szCs w:val="20"/>
          <w:lang w:val="es-CL"/>
        </w:rPr>
        <w:t>Tricoleucemia</w:t>
      </w:r>
      <w:proofErr w:type="spellEnd"/>
      <w:r w:rsidRPr="00FD53A4">
        <w:rPr>
          <w:snapToGrid w:val="0"/>
          <w:sz w:val="20"/>
          <w:szCs w:val="20"/>
          <w:lang w:val="es-CL"/>
        </w:rPr>
        <w:t xml:space="preserve"> en Latinoamérica.</w:t>
      </w:r>
    </w:p>
    <w:p w14:paraId="34745949" w14:textId="6247D1D5" w:rsidR="0099159D" w:rsidRDefault="0099159D" w:rsidP="00FD53A4">
      <w:pPr>
        <w:pStyle w:val="Default"/>
        <w:jc w:val="both"/>
        <w:rPr>
          <w:snapToGrid w:val="0"/>
          <w:sz w:val="20"/>
          <w:szCs w:val="20"/>
          <w:lang w:val="es-CL"/>
        </w:rPr>
      </w:pPr>
      <w:r>
        <w:rPr>
          <w:snapToGrid w:val="0"/>
          <w:sz w:val="20"/>
          <w:szCs w:val="20"/>
          <w:lang w:val="es-CL"/>
        </w:rPr>
        <w:t>Evaluar factores pronósticos</w:t>
      </w:r>
    </w:p>
    <w:p w14:paraId="6E92170A" w14:textId="77777777" w:rsidR="0099159D" w:rsidRPr="00FD53A4" w:rsidRDefault="0099159D" w:rsidP="00FD53A4">
      <w:pPr>
        <w:pStyle w:val="Default"/>
        <w:jc w:val="both"/>
        <w:rPr>
          <w:sz w:val="20"/>
          <w:szCs w:val="20"/>
        </w:rPr>
      </w:pPr>
    </w:p>
    <w:p w14:paraId="47C72DDF" w14:textId="77777777" w:rsidR="00EE4A9A" w:rsidRPr="00126B1C" w:rsidRDefault="00EE4A9A" w:rsidP="00EE4A9A">
      <w:pPr>
        <w:pStyle w:val="Default"/>
        <w:jc w:val="both"/>
        <w:rPr>
          <w:sz w:val="20"/>
          <w:szCs w:val="20"/>
        </w:rPr>
      </w:pPr>
    </w:p>
    <w:p w14:paraId="3F378DE4" w14:textId="77777777" w:rsidR="00EE4A9A" w:rsidRPr="00126B1C" w:rsidRDefault="00EE4A9A" w:rsidP="00EE4A9A">
      <w:pPr>
        <w:pStyle w:val="Default"/>
        <w:jc w:val="both"/>
        <w:rPr>
          <w:sz w:val="20"/>
          <w:szCs w:val="20"/>
        </w:rPr>
      </w:pPr>
      <w:r w:rsidRPr="00126B1C">
        <w:rPr>
          <w:b/>
          <w:bCs/>
          <w:sz w:val="20"/>
          <w:szCs w:val="20"/>
        </w:rPr>
        <w:t xml:space="preserve">Materiales y métodos </w:t>
      </w:r>
    </w:p>
    <w:p w14:paraId="514B416A" w14:textId="5CC4A1F5" w:rsidR="00EE4A9A" w:rsidRPr="00126B1C" w:rsidRDefault="00EE4A9A" w:rsidP="00EE4A9A">
      <w:pPr>
        <w:ind w:right="13"/>
        <w:jc w:val="both"/>
        <w:rPr>
          <w:rFonts w:ascii="Arial" w:hAnsi="Arial" w:cs="Arial"/>
          <w:sz w:val="20"/>
          <w:szCs w:val="20"/>
        </w:rPr>
      </w:pPr>
      <w:r w:rsidRPr="00126B1C">
        <w:rPr>
          <w:rFonts w:ascii="Arial" w:hAnsi="Arial" w:cs="Arial"/>
          <w:b/>
          <w:bCs/>
          <w:sz w:val="20"/>
          <w:szCs w:val="20"/>
        </w:rPr>
        <w:t xml:space="preserve">Diseño del estudio: </w:t>
      </w:r>
      <w:r w:rsidR="00F67328">
        <w:rPr>
          <w:rFonts w:ascii="Arial" w:hAnsi="Arial" w:cs="Arial"/>
          <w:sz w:val="20"/>
          <w:szCs w:val="20"/>
        </w:rPr>
        <w:t xml:space="preserve">Estudio de corte transversal </w:t>
      </w:r>
      <w:proofErr w:type="gramStart"/>
      <w:r w:rsidR="00F67328">
        <w:rPr>
          <w:rFonts w:ascii="Arial" w:hAnsi="Arial" w:cs="Arial"/>
          <w:sz w:val="20"/>
          <w:szCs w:val="20"/>
        </w:rPr>
        <w:t xml:space="preserve">analítico </w:t>
      </w:r>
      <w:r w:rsidR="00FD53A4">
        <w:rPr>
          <w:rFonts w:ascii="Arial" w:hAnsi="Arial" w:cs="Arial"/>
          <w:sz w:val="20"/>
          <w:szCs w:val="20"/>
        </w:rPr>
        <w:t>,</w:t>
      </w:r>
      <w:proofErr w:type="gramEnd"/>
      <w:r w:rsidR="00FD53A4">
        <w:rPr>
          <w:rFonts w:ascii="Arial" w:hAnsi="Arial" w:cs="Arial"/>
          <w:sz w:val="20"/>
          <w:szCs w:val="20"/>
        </w:rPr>
        <w:t xml:space="preserve"> observacional.</w:t>
      </w:r>
    </w:p>
    <w:p w14:paraId="2E53A1F8" w14:textId="58A46F0D" w:rsidR="00D5663B" w:rsidRPr="00D5663B" w:rsidRDefault="00EE4A9A" w:rsidP="00D5663B">
      <w:pPr>
        <w:pStyle w:val="Default"/>
        <w:jc w:val="both"/>
        <w:rPr>
          <w:b/>
          <w:bCs/>
          <w:sz w:val="20"/>
          <w:szCs w:val="20"/>
        </w:rPr>
      </w:pPr>
      <w:r w:rsidRPr="00126B1C">
        <w:rPr>
          <w:b/>
          <w:bCs/>
          <w:sz w:val="20"/>
          <w:szCs w:val="20"/>
        </w:rPr>
        <w:lastRenderedPageBreak/>
        <w:t>Población de estudio:</w:t>
      </w:r>
      <w:r w:rsidR="00D5663B" w:rsidRPr="00D5663B">
        <w:t xml:space="preserve"> </w:t>
      </w:r>
      <w:r w:rsidR="00D5663B" w:rsidRPr="00D5663B">
        <w:rPr>
          <w:b/>
          <w:bCs/>
          <w:sz w:val="20"/>
          <w:szCs w:val="20"/>
        </w:rPr>
        <w:t>Población:</w:t>
      </w:r>
      <w:r w:rsidR="00767494">
        <w:rPr>
          <w:b/>
          <w:bCs/>
          <w:sz w:val="20"/>
          <w:szCs w:val="20"/>
        </w:rPr>
        <w:t xml:space="preserve"> Pacientes adultos mayores de 18</w:t>
      </w:r>
      <w:r w:rsidR="00D5663B" w:rsidRPr="00D5663B">
        <w:rPr>
          <w:b/>
          <w:bCs/>
          <w:sz w:val="20"/>
          <w:szCs w:val="20"/>
        </w:rPr>
        <w:t xml:space="preserve"> años, con diagnóstico de</w:t>
      </w:r>
      <w:r w:rsidR="00D5663B">
        <w:rPr>
          <w:b/>
          <w:bCs/>
          <w:sz w:val="20"/>
          <w:szCs w:val="20"/>
        </w:rPr>
        <w:t xml:space="preserve"> </w:t>
      </w:r>
      <w:proofErr w:type="spellStart"/>
      <w:r w:rsidR="00D5663B">
        <w:rPr>
          <w:b/>
          <w:bCs/>
          <w:sz w:val="20"/>
          <w:szCs w:val="20"/>
        </w:rPr>
        <w:t>Tricoleucemia</w:t>
      </w:r>
      <w:proofErr w:type="spellEnd"/>
      <w:r w:rsidR="00D5663B" w:rsidRPr="00D5663B">
        <w:rPr>
          <w:b/>
          <w:bCs/>
          <w:sz w:val="20"/>
          <w:szCs w:val="20"/>
        </w:rPr>
        <w:t>,</w:t>
      </w:r>
      <w:r w:rsidR="00D5663B">
        <w:rPr>
          <w:b/>
          <w:bCs/>
          <w:sz w:val="20"/>
          <w:szCs w:val="20"/>
        </w:rPr>
        <w:t xml:space="preserve"> </w:t>
      </w:r>
      <w:r w:rsidR="00D5663B">
        <w:rPr>
          <w:sz w:val="20"/>
          <w:szCs w:val="20"/>
        </w:rPr>
        <w:t xml:space="preserve">atendidos </w:t>
      </w:r>
      <w:r w:rsidR="00D5663B" w:rsidRPr="00126B1C">
        <w:rPr>
          <w:sz w:val="20"/>
          <w:szCs w:val="20"/>
        </w:rPr>
        <w:t>en</w:t>
      </w:r>
      <w:r w:rsidR="00D5663B">
        <w:rPr>
          <w:sz w:val="20"/>
          <w:szCs w:val="20"/>
        </w:rPr>
        <w:t xml:space="preserve"> </w:t>
      </w:r>
      <w:r w:rsidR="00D5663B" w:rsidRPr="006365F5">
        <w:rPr>
          <w:sz w:val="20"/>
          <w:szCs w:val="20"/>
        </w:rPr>
        <w:t xml:space="preserve">Centros de Referencia Oncológicos en Latinoamérica </w:t>
      </w:r>
      <w:r w:rsidR="00D5663B" w:rsidRPr="00126B1C">
        <w:rPr>
          <w:sz w:val="20"/>
          <w:szCs w:val="20"/>
        </w:rPr>
        <w:t xml:space="preserve">durante el periodo comprendido entre </w:t>
      </w:r>
      <w:r w:rsidR="00D5663B">
        <w:rPr>
          <w:sz w:val="20"/>
          <w:szCs w:val="20"/>
        </w:rPr>
        <w:t>2010 a 2022.</w:t>
      </w:r>
    </w:p>
    <w:p w14:paraId="4F195453" w14:textId="37F6F33E" w:rsidR="00EE4A9A" w:rsidRDefault="00D5663B" w:rsidP="00D5663B">
      <w:pPr>
        <w:pStyle w:val="Default"/>
        <w:jc w:val="both"/>
        <w:rPr>
          <w:sz w:val="20"/>
          <w:szCs w:val="20"/>
        </w:rPr>
      </w:pPr>
      <w:r w:rsidRPr="00D5663B">
        <w:rPr>
          <w:b/>
          <w:bCs/>
          <w:sz w:val="20"/>
          <w:szCs w:val="20"/>
        </w:rPr>
        <w:t>Criterios exclusión: aquellos pacientes que no cumplen criterios de diagnósticos de OMS o aquellos pacientes que tengas datos clínicos incompletos</w:t>
      </w:r>
      <w:r>
        <w:rPr>
          <w:b/>
          <w:bCs/>
          <w:sz w:val="20"/>
          <w:szCs w:val="20"/>
        </w:rPr>
        <w:t>.</w:t>
      </w:r>
    </w:p>
    <w:p w14:paraId="19C4E5AC" w14:textId="77777777" w:rsidR="00EE4A9A" w:rsidRPr="00126B1C" w:rsidRDefault="00EE4A9A" w:rsidP="00EE4A9A">
      <w:pPr>
        <w:pStyle w:val="Default"/>
        <w:jc w:val="both"/>
        <w:rPr>
          <w:sz w:val="20"/>
          <w:szCs w:val="20"/>
        </w:rPr>
      </w:pPr>
    </w:p>
    <w:p w14:paraId="31ABB214" w14:textId="083BE5AD" w:rsidR="00EE4A9A" w:rsidRDefault="00EE4A9A" w:rsidP="00EE4A9A">
      <w:pPr>
        <w:ind w:right="13"/>
        <w:jc w:val="both"/>
        <w:rPr>
          <w:rFonts w:ascii="Arial" w:hAnsi="Arial" w:cs="Arial"/>
          <w:color w:val="000000"/>
          <w:sz w:val="20"/>
          <w:szCs w:val="20"/>
          <w:lang w:val="es-CL"/>
        </w:rPr>
      </w:pPr>
      <w:r w:rsidRPr="00126B1C">
        <w:rPr>
          <w:rFonts w:ascii="Arial" w:hAnsi="Arial" w:cs="Arial"/>
          <w:b/>
          <w:bCs/>
          <w:sz w:val="20"/>
          <w:szCs w:val="20"/>
        </w:rPr>
        <w:t xml:space="preserve">Procedimientos: </w:t>
      </w:r>
      <w:r w:rsidRPr="00126B1C">
        <w:rPr>
          <w:rFonts w:ascii="Arial" w:hAnsi="Arial" w:cs="Arial"/>
          <w:sz w:val="20"/>
          <w:szCs w:val="20"/>
        </w:rPr>
        <w:t xml:space="preserve">La búsqueda de los pacientes se realizará mediante los registros disponibles en </w:t>
      </w:r>
      <w:r>
        <w:rPr>
          <w:rFonts w:ascii="Arial" w:hAnsi="Arial" w:cs="Arial"/>
          <w:sz w:val="20"/>
          <w:szCs w:val="20"/>
        </w:rPr>
        <w:t xml:space="preserve">cada uno de los </w:t>
      </w:r>
      <w:r w:rsidRPr="00126B1C">
        <w:rPr>
          <w:rFonts w:ascii="Arial" w:hAnsi="Arial" w:cs="Arial"/>
          <w:sz w:val="20"/>
          <w:szCs w:val="20"/>
        </w:rPr>
        <w:t>Servicio</w:t>
      </w:r>
      <w:r>
        <w:rPr>
          <w:rFonts w:ascii="Arial" w:hAnsi="Arial" w:cs="Arial"/>
          <w:sz w:val="20"/>
          <w:szCs w:val="20"/>
        </w:rPr>
        <w:t xml:space="preserve">s de hematología de los </w:t>
      </w:r>
      <w:r w:rsidRPr="006365F5">
        <w:rPr>
          <w:rFonts w:ascii="Arial" w:hAnsi="Arial" w:cs="Arial"/>
          <w:sz w:val="20"/>
          <w:szCs w:val="20"/>
        </w:rPr>
        <w:t xml:space="preserve">Centros de Referencia Oncológicos en Latinoamérica </w:t>
      </w:r>
      <w:r>
        <w:rPr>
          <w:rFonts w:ascii="Arial" w:hAnsi="Arial" w:cs="Arial"/>
          <w:sz w:val="20"/>
          <w:szCs w:val="20"/>
        </w:rPr>
        <w:t xml:space="preserve">participantes. </w:t>
      </w:r>
      <w:r w:rsidRPr="00126B1C">
        <w:rPr>
          <w:rFonts w:ascii="Arial" w:hAnsi="Arial" w:cs="Arial"/>
          <w:sz w:val="20"/>
          <w:szCs w:val="20"/>
        </w:rPr>
        <w:t xml:space="preserve">Se </w:t>
      </w:r>
      <w:r w:rsidRPr="00D5663B">
        <w:rPr>
          <w:rFonts w:ascii="Arial" w:hAnsi="Arial" w:cs="Arial"/>
          <w:sz w:val="20"/>
          <w:szCs w:val="20"/>
        </w:rPr>
        <w:t xml:space="preserve">obtendrán los datos de historia clínica consignados en los sistemas de información que cada institución disponga para ellos. La información de los pacientes incluidos se registrará en </w:t>
      </w:r>
      <w:r w:rsidR="00F67328" w:rsidRPr="00D5663B">
        <w:rPr>
          <w:rFonts w:ascii="Arial" w:hAnsi="Arial" w:cs="Arial"/>
          <w:sz w:val="20"/>
          <w:szCs w:val="20"/>
        </w:rPr>
        <w:t xml:space="preserve">una base de datos conjunta teniendo en cuenta </w:t>
      </w:r>
      <w:r w:rsidR="00BD1CF7" w:rsidRPr="00D5663B">
        <w:rPr>
          <w:rFonts w:ascii="Arial" w:hAnsi="Arial" w:cs="Arial"/>
          <w:sz w:val="20"/>
          <w:szCs w:val="20"/>
        </w:rPr>
        <w:t>todos los requerimientos</w:t>
      </w:r>
      <w:r w:rsidR="00F67328" w:rsidRPr="00D5663B">
        <w:rPr>
          <w:rFonts w:ascii="Arial" w:hAnsi="Arial" w:cs="Arial"/>
          <w:sz w:val="20"/>
          <w:szCs w:val="20"/>
        </w:rPr>
        <w:t xml:space="preserve"> de investigación clínica en humanos según la declaración de Helsinki.</w:t>
      </w:r>
      <w:r w:rsidR="00D5663B" w:rsidRPr="00D5663B">
        <w:rPr>
          <w:rFonts w:ascii="Arial" w:hAnsi="Arial" w:cs="Arial"/>
          <w:sz w:val="20"/>
          <w:szCs w:val="20"/>
        </w:rPr>
        <w:t xml:space="preserve"> </w:t>
      </w:r>
      <w:r w:rsidR="00D5663B" w:rsidRPr="00D5663B">
        <w:rPr>
          <w:rFonts w:ascii="Arial" w:hAnsi="Arial" w:cs="Arial"/>
          <w:color w:val="000000"/>
          <w:sz w:val="20"/>
          <w:szCs w:val="20"/>
          <w:lang w:val="es-CL"/>
        </w:rPr>
        <w:t>Los datos se manejaran en una  base anonimizada y codificada.</w:t>
      </w:r>
    </w:p>
    <w:p w14:paraId="436E44A8" w14:textId="77777777" w:rsidR="0099159D" w:rsidRPr="00126B1C" w:rsidRDefault="0099159D" w:rsidP="00EE4A9A">
      <w:pPr>
        <w:ind w:right="13"/>
        <w:jc w:val="both"/>
        <w:rPr>
          <w:rFonts w:ascii="Arial" w:hAnsi="Arial" w:cs="Arial"/>
          <w:sz w:val="20"/>
          <w:szCs w:val="20"/>
        </w:rPr>
      </w:pPr>
    </w:p>
    <w:p w14:paraId="22DB84C1" w14:textId="77777777" w:rsidR="00EE4A9A" w:rsidRPr="00126B1C" w:rsidRDefault="00EE4A9A" w:rsidP="00EE4A9A">
      <w:pPr>
        <w:ind w:right="13"/>
        <w:jc w:val="both"/>
        <w:rPr>
          <w:rFonts w:ascii="Arial" w:hAnsi="Arial" w:cs="Arial"/>
          <w:b/>
          <w:sz w:val="20"/>
          <w:szCs w:val="20"/>
        </w:rPr>
      </w:pPr>
    </w:p>
    <w:p w14:paraId="5A80B1A2" w14:textId="77777777" w:rsidR="00EE4A9A" w:rsidRPr="00126B1C" w:rsidRDefault="00EE4A9A" w:rsidP="00EE4A9A">
      <w:pPr>
        <w:ind w:right="13"/>
        <w:jc w:val="both"/>
        <w:rPr>
          <w:rFonts w:ascii="Arial" w:hAnsi="Arial" w:cs="Arial"/>
          <w:b/>
          <w:sz w:val="20"/>
          <w:szCs w:val="20"/>
        </w:rPr>
      </w:pPr>
      <w:r w:rsidRPr="00126B1C">
        <w:rPr>
          <w:rFonts w:ascii="Arial" w:hAnsi="Arial" w:cs="Arial"/>
          <w:b/>
          <w:sz w:val="20"/>
          <w:szCs w:val="20"/>
        </w:rPr>
        <w:t>PALABRAS CLAVE:</w:t>
      </w:r>
    </w:p>
    <w:p w14:paraId="36F36819" w14:textId="77777777" w:rsidR="00D5663B" w:rsidRDefault="00D5663B" w:rsidP="00EE4A9A">
      <w:pPr>
        <w:ind w:right="13"/>
        <w:jc w:val="both"/>
        <w:rPr>
          <w:rFonts w:ascii="Arial" w:hAnsi="Arial" w:cs="Arial"/>
          <w:bCs/>
          <w:sz w:val="20"/>
          <w:szCs w:val="20"/>
        </w:rPr>
      </w:pPr>
      <w:proofErr w:type="spellStart"/>
      <w:r>
        <w:rPr>
          <w:rFonts w:ascii="Arial" w:hAnsi="Arial" w:cs="Arial"/>
          <w:bCs/>
          <w:sz w:val="20"/>
          <w:szCs w:val="20"/>
        </w:rPr>
        <w:t>Tricoleucemia</w:t>
      </w:r>
      <w:proofErr w:type="spellEnd"/>
    </w:p>
    <w:p w14:paraId="1EB3C797" w14:textId="6CBE6581" w:rsidR="00EE4A9A" w:rsidRPr="00126B1C" w:rsidRDefault="00D5663B" w:rsidP="00EE4A9A">
      <w:pPr>
        <w:ind w:right="13"/>
        <w:jc w:val="both"/>
        <w:rPr>
          <w:rFonts w:ascii="Arial" w:hAnsi="Arial" w:cs="Arial"/>
          <w:sz w:val="20"/>
          <w:szCs w:val="20"/>
        </w:rPr>
      </w:pPr>
      <w:r>
        <w:rPr>
          <w:rFonts w:ascii="Arial" w:hAnsi="Arial" w:cs="Arial"/>
          <w:bCs/>
          <w:sz w:val="20"/>
          <w:szCs w:val="20"/>
        </w:rPr>
        <w:t xml:space="preserve">Leucemia de células velludas </w:t>
      </w:r>
    </w:p>
    <w:p w14:paraId="71FCB6DB" w14:textId="77777777" w:rsidR="00EE4A9A" w:rsidRDefault="00EE4A9A" w:rsidP="00EE4A9A">
      <w:pPr>
        <w:ind w:right="13"/>
        <w:jc w:val="both"/>
        <w:rPr>
          <w:rFonts w:ascii="Arial" w:hAnsi="Arial" w:cs="Arial"/>
          <w:sz w:val="20"/>
          <w:szCs w:val="20"/>
        </w:rPr>
      </w:pPr>
      <w:r w:rsidRPr="00126B1C">
        <w:rPr>
          <w:rFonts w:ascii="Arial" w:hAnsi="Arial" w:cs="Arial"/>
          <w:sz w:val="20"/>
          <w:szCs w:val="20"/>
        </w:rPr>
        <w:t>Quimioterapia</w:t>
      </w:r>
    </w:p>
    <w:p w14:paraId="7002A646" w14:textId="77777777" w:rsidR="0099159D" w:rsidRDefault="0099159D" w:rsidP="00EE4A9A">
      <w:pPr>
        <w:ind w:right="13"/>
        <w:jc w:val="both"/>
        <w:rPr>
          <w:rFonts w:ascii="Arial" w:hAnsi="Arial" w:cs="Arial"/>
          <w:sz w:val="20"/>
          <w:szCs w:val="20"/>
        </w:rPr>
      </w:pPr>
    </w:p>
    <w:p w14:paraId="30B1B24F" w14:textId="2299B171" w:rsidR="0099159D" w:rsidRPr="00490588" w:rsidRDefault="0099159D" w:rsidP="00EE4A9A">
      <w:pPr>
        <w:ind w:right="13"/>
        <w:jc w:val="both"/>
        <w:rPr>
          <w:rFonts w:ascii="Arial" w:hAnsi="Arial" w:cs="Arial"/>
          <w:sz w:val="20"/>
          <w:szCs w:val="20"/>
        </w:rPr>
      </w:pPr>
      <w:r>
        <w:rPr>
          <w:rFonts w:ascii="Arial" w:hAnsi="Arial" w:cs="Arial"/>
          <w:sz w:val="20"/>
          <w:szCs w:val="20"/>
        </w:rPr>
        <w:t xml:space="preserve">DEADLINE: primer </w:t>
      </w:r>
      <w:proofErr w:type="spellStart"/>
      <w:r>
        <w:rPr>
          <w:rFonts w:ascii="Arial" w:hAnsi="Arial" w:cs="Arial"/>
          <w:sz w:val="20"/>
          <w:szCs w:val="20"/>
        </w:rPr>
        <w:t>deadline</w:t>
      </w:r>
      <w:proofErr w:type="spellEnd"/>
      <w:r>
        <w:rPr>
          <w:rFonts w:ascii="Arial" w:hAnsi="Arial" w:cs="Arial"/>
          <w:sz w:val="20"/>
          <w:szCs w:val="20"/>
        </w:rPr>
        <w:t xml:space="preserve"> Julio 2023</w:t>
      </w:r>
    </w:p>
    <w:p w14:paraId="06FFE8F2" w14:textId="77777777" w:rsidR="00EE4A9A" w:rsidRDefault="00EE4A9A" w:rsidP="00EE4A9A">
      <w:pPr>
        <w:ind w:right="13"/>
        <w:jc w:val="both"/>
        <w:rPr>
          <w:rFonts w:ascii="Arial" w:hAnsi="Arial" w:cs="Arial"/>
          <w:sz w:val="20"/>
          <w:szCs w:val="20"/>
        </w:rPr>
      </w:pPr>
    </w:p>
    <w:p w14:paraId="3ECF19F8" w14:textId="77777777" w:rsidR="0099159D" w:rsidRPr="00DF26DD" w:rsidRDefault="0099159D" w:rsidP="0099159D">
      <w:pPr>
        <w:tabs>
          <w:tab w:val="left" w:pos="1680"/>
        </w:tabs>
        <w:rPr>
          <w:rFonts w:ascii="Arial" w:hAnsi="Arial" w:cs="Arial"/>
          <w:b/>
          <w:bCs/>
          <w:sz w:val="20"/>
          <w:szCs w:val="20"/>
          <w:lang w:val="es-CL"/>
        </w:rPr>
      </w:pPr>
      <w:r w:rsidRPr="00DF26DD">
        <w:rPr>
          <w:rFonts w:ascii="Arial" w:hAnsi="Arial" w:cs="Arial"/>
          <w:b/>
          <w:bCs/>
          <w:sz w:val="20"/>
          <w:szCs w:val="20"/>
          <w:lang w:val="es-CL"/>
        </w:rPr>
        <w:t>Bibliografía</w:t>
      </w:r>
    </w:p>
    <w:p w14:paraId="2A241B2F" w14:textId="77777777" w:rsidR="0099159D" w:rsidRPr="00DF26DD" w:rsidRDefault="0099159D" w:rsidP="0099159D">
      <w:pPr>
        <w:rPr>
          <w:rFonts w:ascii="Calibri" w:eastAsia="Calibri" w:hAnsi="Calibri"/>
          <w:sz w:val="22"/>
          <w:szCs w:val="22"/>
          <w:lang w:val="es-CL" w:eastAsia="es-ES_tradnl"/>
        </w:rPr>
      </w:pPr>
    </w:p>
    <w:p w14:paraId="4633969E" w14:textId="77777777" w:rsidR="0099159D" w:rsidRDefault="0099159D" w:rsidP="0099159D">
      <w:pPr>
        <w:pStyle w:val="Prrafodelista"/>
        <w:numPr>
          <w:ilvl w:val="0"/>
          <w:numId w:val="5"/>
        </w:numPr>
        <w:rPr>
          <w:lang w:val="en-US" w:eastAsia="es-ES_tradnl"/>
        </w:rPr>
      </w:pPr>
      <w:r w:rsidRPr="00BD5D56">
        <w:rPr>
          <w:lang w:val="en-US" w:eastAsia="es-ES_tradnl"/>
        </w:rPr>
        <w:t>Else, at el. Long Remissions in Hairy cell leukemia with purine analogs. A report of 219 patients with a median follow up of 12</w:t>
      </w:r>
      <w:proofErr w:type="gramStart"/>
      <w:r w:rsidRPr="00BD5D56">
        <w:rPr>
          <w:lang w:val="en-US" w:eastAsia="es-ES_tradnl"/>
        </w:rPr>
        <w:t>,5</w:t>
      </w:r>
      <w:proofErr w:type="gramEnd"/>
      <w:r w:rsidRPr="00BD5D56">
        <w:rPr>
          <w:lang w:val="en-US" w:eastAsia="es-ES_tradnl"/>
        </w:rPr>
        <w:t xml:space="preserve"> years. American Cancer Society, December 1, 2005/volume 104/number 11. </w:t>
      </w:r>
    </w:p>
    <w:p w14:paraId="4425FC3F" w14:textId="77777777" w:rsidR="0099159D" w:rsidRDefault="0099159D" w:rsidP="0099159D">
      <w:pPr>
        <w:pStyle w:val="Prrafodelista"/>
        <w:numPr>
          <w:ilvl w:val="0"/>
          <w:numId w:val="5"/>
        </w:numPr>
        <w:rPr>
          <w:lang w:val="en-US" w:eastAsia="es-ES_tradnl"/>
        </w:rPr>
      </w:pPr>
      <w:proofErr w:type="spellStart"/>
      <w:r w:rsidRPr="00BD5D56">
        <w:rPr>
          <w:lang w:val="en-US" w:eastAsia="es-ES_tradnl"/>
        </w:rPr>
        <w:t>Flinn</w:t>
      </w:r>
      <w:proofErr w:type="spellEnd"/>
      <w:r w:rsidRPr="00BD5D56">
        <w:rPr>
          <w:lang w:val="en-US" w:eastAsia="es-ES_tradnl"/>
        </w:rPr>
        <w:t xml:space="preserve"> IW </w:t>
      </w:r>
      <w:proofErr w:type="spellStart"/>
      <w:r w:rsidRPr="00BD5D56">
        <w:rPr>
          <w:lang w:val="en-US" w:eastAsia="es-ES_tradnl"/>
        </w:rPr>
        <w:t>Kopecky</w:t>
      </w:r>
      <w:proofErr w:type="spellEnd"/>
      <w:r w:rsidRPr="00BD5D56">
        <w:rPr>
          <w:lang w:val="en-US" w:eastAsia="es-ES_tradnl"/>
        </w:rPr>
        <w:t xml:space="preserve"> KJ, </w:t>
      </w:r>
      <w:proofErr w:type="spellStart"/>
      <w:r w:rsidRPr="00BD5D56">
        <w:rPr>
          <w:lang w:val="en-US" w:eastAsia="es-ES_tradnl"/>
        </w:rPr>
        <w:t>Foucar</w:t>
      </w:r>
      <w:proofErr w:type="spellEnd"/>
      <w:r w:rsidRPr="00BD5D56">
        <w:rPr>
          <w:lang w:val="en-US" w:eastAsia="es-ES_tradnl"/>
        </w:rPr>
        <w:t xml:space="preserve"> MK, et al. Long- term follow-up of remission duration, mortality, and second malignancies in </w:t>
      </w:r>
      <w:proofErr w:type="spellStart"/>
      <w:r w:rsidRPr="00BD5D56">
        <w:rPr>
          <w:lang w:val="en-US" w:eastAsia="es-ES_tradnl"/>
        </w:rPr>
        <w:t>hiary</w:t>
      </w:r>
      <w:proofErr w:type="spellEnd"/>
      <w:r w:rsidRPr="00BD5D56">
        <w:rPr>
          <w:lang w:val="en-US" w:eastAsia="es-ES_tradnl"/>
        </w:rPr>
        <w:t xml:space="preserve"> cell leukemia patients treated with </w:t>
      </w:r>
      <w:proofErr w:type="spellStart"/>
      <w:r w:rsidRPr="00BD5D56">
        <w:rPr>
          <w:lang w:val="en-US" w:eastAsia="es-ES_tradnl"/>
        </w:rPr>
        <w:t>pentostatin</w:t>
      </w:r>
      <w:proofErr w:type="spellEnd"/>
      <w:r w:rsidRPr="00BD5D56">
        <w:rPr>
          <w:lang w:val="en-US" w:eastAsia="es-ES_tradnl"/>
        </w:rPr>
        <w:t>, Blood 200</w:t>
      </w:r>
      <w:r>
        <w:rPr>
          <w:lang w:val="en-US" w:eastAsia="es-ES_tradnl"/>
        </w:rPr>
        <w:t>3</w:t>
      </w:r>
      <w:r w:rsidRPr="00BD5D56">
        <w:rPr>
          <w:lang w:val="en-US" w:eastAsia="es-ES_tradnl"/>
        </w:rPr>
        <w:t>; 96, 2981-2986</w:t>
      </w:r>
    </w:p>
    <w:p w14:paraId="004AD65B" w14:textId="77777777" w:rsidR="0099159D" w:rsidRDefault="0099159D" w:rsidP="0099159D">
      <w:pPr>
        <w:pStyle w:val="Prrafodelista"/>
        <w:numPr>
          <w:ilvl w:val="0"/>
          <w:numId w:val="5"/>
        </w:numPr>
        <w:rPr>
          <w:lang w:val="en-US" w:eastAsia="es-ES_tradnl"/>
        </w:rPr>
      </w:pPr>
      <w:proofErr w:type="spellStart"/>
      <w:r w:rsidRPr="00BD5D56">
        <w:rPr>
          <w:lang w:val="en-US" w:eastAsia="es-ES_tradnl"/>
        </w:rPr>
        <w:t>Jehn</w:t>
      </w:r>
      <w:proofErr w:type="spellEnd"/>
      <w:r w:rsidRPr="00BD5D56">
        <w:rPr>
          <w:lang w:val="en-US" w:eastAsia="es-ES_tradnl"/>
        </w:rPr>
        <w:t xml:space="preserve"> U, </w:t>
      </w:r>
      <w:proofErr w:type="spellStart"/>
      <w:r w:rsidRPr="00BD5D56">
        <w:rPr>
          <w:lang w:val="en-US" w:eastAsia="es-ES_tradnl"/>
        </w:rPr>
        <w:t>Bartl</w:t>
      </w:r>
      <w:proofErr w:type="spellEnd"/>
      <w:r w:rsidRPr="00BD5D56">
        <w:rPr>
          <w:lang w:val="en-US" w:eastAsia="es-ES_tradnl"/>
        </w:rPr>
        <w:t xml:space="preserve"> R, et al. 12 year follow-up patients with hairy cell leukemia following treatment with 2-chlorodeoxyadenosine. Leukemia 200</w:t>
      </w:r>
      <w:r>
        <w:rPr>
          <w:lang w:val="en-US" w:eastAsia="es-ES_tradnl"/>
        </w:rPr>
        <w:t>3</w:t>
      </w:r>
      <w:r w:rsidRPr="00BD5D56">
        <w:rPr>
          <w:lang w:val="en-US" w:eastAsia="es-ES_tradnl"/>
        </w:rPr>
        <w:t>; 1:1476 -1481</w:t>
      </w:r>
    </w:p>
    <w:p w14:paraId="520E0FE3" w14:textId="77777777" w:rsidR="0099159D" w:rsidRDefault="0099159D" w:rsidP="0099159D">
      <w:pPr>
        <w:pStyle w:val="Prrafodelista"/>
        <w:numPr>
          <w:ilvl w:val="0"/>
          <w:numId w:val="5"/>
        </w:numPr>
        <w:rPr>
          <w:lang w:val="en-US" w:eastAsia="es-ES_tradnl"/>
        </w:rPr>
      </w:pPr>
      <w:r w:rsidRPr="00BD5D56">
        <w:rPr>
          <w:lang w:val="en-US" w:eastAsia="es-ES_tradnl"/>
        </w:rPr>
        <w:t xml:space="preserve">Goodman GR, </w:t>
      </w:r>
      <w:proofErr w:type="spellStart"/>
      <w:r w:rsidRPr="00BD5D56">
        <w:rPr>
          <w:lang w:val="en-US" w:eastAsia="es-ES_tradnl"/>
        </w:rPr>
        <w:t>Burian</w:t>
      </w:r>
      <w:proofErr w:type="spellEnd"/>
      <w:r w:rsidRPr="00BD5D56">
        <w:rPr>
          <w:lang w:val="en-US" w:eastAsia="es-ES_tradnl"/>
        </w:rPr>
        <w:t xml:space="preserve"> C, et al. Extended follow-up of patients with hairy cell leukemia after treatment with </w:t>
      </w:r>
      <w:proofErr w:type="spellStart"/>
      <w:r w:rsidRPr="00BD5D56">
        <w:rPr>
          <w:lang w:val="en-US" w:eastAsia="es-ES_tradnl"/>
        </w:rPr>
        <w:t>cladribine</w:t>
      </w:r>
      <w:proofErr w:type="spellEnd"/>
      <w:r w:rsidRPr="00BD5D56">
        <w:rPr>
          <w:lang w:val="en-US" w:eastAsia="es-ES_tradnl"/>
        </w:rPr>
        <w:t>, Journal of clinical oncology 2003</w:t>
      </w:r>
      <w:proofErr w:type="gramStart"/>
      <w:r w:rsidRPr="00BD5D56">
        <w:rPr>
          <w:lang w:val="en-US" w:eastAsia="es-ES_tradnl"/>
        </w:rPr>
        <w:t>;21</w:t>
      </w:r>
      <w:proofErr w:type="gramEnd"/>
      <w:r w:rsidRPr="00BD5D56">
        <w:rPr>
          <w:lang w:val="en-US" w:eastAsia="es-ES_tradnl"/>
        </w:rPr>
        <w:t xml:space="preserve">: 891-896. </w:t>
      </w:r>
    </w:p>
    <w:p w14:paraId="00846577" w14:textId="77777777" w:rsidR="0099159D" w:rsidRDefault="0099159D" w:rsidP="0099159D">
      <w:pPr>
        <w:pStyle w:val="Prrafodelista"/>
        <w:numPr>
          <w:ilvl w:val="0"/>
          <w:numId w:val="5"/>
        </w:numPr>
        <w:rPr>
          <w:lang w:val="en-US" w:eastAsia="es-ES_tradnl"/>
        </w:rPr>
      </w:pPr>
      <w:r w:rsidRPr="00BD5D56">
        <w:rPr>
          <w:lang w:val="es-CL" w:eastAsia="es-ES_tradnl"/>
        </w:rPr>
        <w:t xml:space="preserve">Gail Jones, </w:t>
      </w:r>
      <w:proofErr w:type="spellStart"/>
      <w:r w:rsidRPr="00BD5D56">
        <w:rPr>
          <w:lang w:val="es-CL" w:eastAsia="es-ES_tradnl"/>
        </w:rPr>
        <w:t>Nilima</w:t>
      </w:r>
      <w:proofErr w:type="spellEnd"/>
      <w:r w:rsidRPr="00BD5D56">
        <w:rPr>
          <w:lang w:val="es-CL" w:eastAsia="es-ES_tradnl"/>
        </w:rPr>
        <w:t xml:space="preserve"> </w:t>
      </w:r>
      <w:proofErr w:type="spellStart"/>
      <w:r w:rsidRPr="00BD5D56">
        <w:rPr>
          <w:lang w:val="es-CL" w:eastAsia="es-ES_tradnl"/>
        </w:rPr>
        <w:t>Parry</w:t>
      </w:r>
      <w:proofErr w:type="spellEnd"/>
      <w:r w:rsidRPr="00BD5D56">
        <w:rPr>
          <w:lang w:val="es-CL" w:eastAsia="es-ES_tradnl"/>
        </w:rPr>
        <w:t xml:space="preserve">- Jones et al. </w:t>
      </w:r>
      <w:r w:rsidRPr="00BD5D56">
        <w:rPr>
          <w:lang w:val="en-US" w:eastAsia="es-ES_tradnl"/>
        </w:rPr>
        <w:t xml:space="preserve">Revised guidelines for the diagnosis and management of hairy cell leukemia and </w:t>
      </w:r>
      <w:proofErr w:type="gramStart"/>
      <w:r w:rsidRPr="00BD5D56">
        <w:rPr>
          <w:lang w:val="en-US" w:eastAsia="es-ES_tradnl"/>
        </w:rPr>
        <w:t>hairy  cell</w:t>
      </w:r>
      <w:proofErr w:type="gramEnd"/>
      <w:r w:rsidRPr="00BD5D56">
        <w:rPr>
          <w:lang w:val="en-US" w:eastAsia="es-ES_tradnl"/>
        </w:rPr>
        <w:t xml:space="preserve"> leukemia variant.  British Journal of </w:t>
      </w:r>
      <w:proofErr w:type="spellStart"/>
      <w:proofErr w:type="gramStart"/>
      <w:r w:rsidRPr="00BD5D56">
        <w:rPr>
          <w:lang w:val="en-US" w:eastAsia="es-ES_tradnl"/>
        </w:rPr>
        <w:t>Haematology</w:t>
      </w:r>
      <w:proofErr w:type="spellEnd"/>
      <w:r w:rsidRPr="00BD5D56">
        <w:rPr>
          <w:lang w:val="en-US" w:eastAsia="es-ES_tradnl"/>
        </w:rPr>
        <w:t xml:space="preserve">  2011</w:t>
      </w:r>
      <w:proofErr w:type="gramEnd"/>
      <w:r w:rsidRPr="00BD5D56">
        <w:rPr>
          <w:lang w:val="en-US" w:eastAsia="es-ES_tradnl"/>
        </w:rPr>
        <w:t xml:space="preserve">; 156: 186-195. </w:t>
      </w:r>
    </w:p>
    <w:p w14:paraId="72353A9A" w14:textId="77777777" w:rsidR="0099159D" w:rsidRDefault="0099159D" w:rsidP="0099159D">
      <w:pPr>
        <w:pStyle w:val="Prrafodelista"/>
        <w:numPr>
          <w:ilvl w:val="0"/>
          <w:numId w:val="5"/>
        </w:numPr>
        <w:rPr>
          <w:lang w:val="en-US" w:eastAsia="es-ES_tradnl"/>
        </w:rPr>
      </w:pPr>
      <w:proofErr w:type="spellStart"/>
      <w:r w:rsidRPr="00BD5D56">
        <w:rPr>
          <w:lang w:val="en-US" w:eastAsia="es-ES_tradnl"/>
        </w:rPr>
        <w:t>HarveyM</w:t>
      </w:r>
      <w:proofErr w:type="spellEnd"/>
      <w:r w:rsidRPr="00BD5D56">
        <w:rPr>
          <w:lang w:val="en-US" w:eastAsia="es-ES_tradnl"/>
        </w:rPr>
        <w:t xml:space="preserve">, </w:t>
      </w:r>
      <w:proofErr w:type="spellStart"/>
      <w:r w:rsidRPr="00BD5D56">
        <w:rPr>
          <w:lang w:val="en-US" w:eastAsia="es-ES_tradnl"/>
        </w:rPr>
        <w:t>Golomb</w:t>
      </w:r>
      <w:proofErr w:type="spellEnd"/>
      <w:r w:rsidRPr="00BD5D56">
        <w:rPr>
          <w:lang w:val="en-US" w:eastAsia="es-ES_tradnl"/>
        </w:rPr>
        <w:t xml:space="preserve">. Hairy cell Leukemia: treatment successes in the past 25 years. American Society of Clinical oncology 2008, </w:t>
      </w:r>
      <w:proofErr w:type="spellStart"/>
      <w:r w:rsidRPr="00BD5D56">
        <w:rPr>
          <w:lang w:val="en-US" w:eastAsia="es-ES_tradnl"/>
        </w:rPr>
        <w:t>vol</w:t>
      </w:r>
      <w:proofErr w:type="spellEnd"/>
      <w:r w:rsidRPr="00BD5D56">
        <w:rPr>
          <w:lang w:val="en-US" w:eastAsia="es-ES_tradnl"/>
        </w:rPr>
        <w:t xml:space="preserve"> 26, N° 16. 2607-2610.</w:t>
      </w:r>
    </w:p>
    <w:p w14:paraId="7F1624DF" w14:textId="77777777" w:rsidR="0099159D" w:rsidRDefault="0099159D" w:rsidP="0099159D">
      <w:pPr>
        <w:pStyle w:val="Prrafodelista"/>
        <w:numPr>
          <w:ilvl w:val="0"/>
          <w:numId w:val="5"/>
        </w:numPr>
        <w:rPr>
          <w:lang w:val="en-US" w:eastAsia="es-ES_tradnl"/>
        </w:rPr>
      </w:pPr>
      <w:r w:rsidRPr="00BD5D56">
        <w:rPr>
          <w:lang w:val="es-CL" w:eastAsia="es-ES_tradnl"/>
        </w:rPr>
        <w:t xml:space="preserve">Michael R </w:t>
      </w:r>
      <w:proofErr w:type="spellStart"/>
      <w:r w:rsidRPr="00BD5D56">
        <w:rPr>
          <w:lang w:val="es-CL" w:eastAsia="es-ES_tradnl"/>
        </w:rPr>
        <w:t>Garver</w:t>
      </w:r>
      <w:proofErr w:type="spellEnd"/>
      <w:r w:rsidRPr="00BD5D56">
        <w:rPr>
          <w:lang w:val="es-CL" w:eastAsia="es-ES_tradnl"/>
        </w:rPr>
        <w:t xml:space="preserve">, Omar </w:t>
      </w:r>
      <w:proofErr w:type="spellStart"/>
      <w:r w:rsidRPr="00BD5D56">
        <w:rPr>
          <w:lang w:val="es-CL" w:eastAsia="es-ES_tradnl"/>
        </w:rPr>
        <w:t>Abdel-Wahab</w:t>
      </w:r>
      <w:proofErr w:type="spellEnd"/>
      <w:r w:rsidRPr="00BD5D56">
        <w:rPr>
          <w:lang w:val="es-CL" w:eastAsia="es-ES_tradnl"/>
        </w:rPr>
        <w:t xml:space="preserve">, et al. </w:t>
      </w:r>
      <w:r w:rsidRPr="00BD5D56">
        <w:rPr>
          <w:lang w:val="en-US" w:eastAsia="es-ES_tradnl"/>
        </w:rPr>
        <w:t>Consensus guidelines for the diagnosis and management of patient with classic hairy cell leukemia. Blood 2017, Volume 129 n°5: 553-560</w:t>
      </w:r>
    </w:p>
    <w:p w14:paraId="0F917F38" w14:textId="77777777" w:rsidR="0099159D" w:rsidRPr="00E4098C" w:rsidRDefault="0099159D" w:rsidP="0099159D">
      <w:pPr>
        <w:pStyle w:val="Prrafodelista"/>
        <w:numPr>
          <w:ilvl w:val="0"/>
          <w:numId w:val="5"/>
        </w:numPr>
        <w:rPr>
          <w:lang w:val="es-CL" w:eastAsia="es-ES_tradnl"/>
        </w:rPr>
      </w:pPr>
      <w:proofErr w:type="spellStart"/>
      <w:r w:rsidRPr="00E4098C">
        <w:rPr>
          <w:lang w:val="es-CL" w:eastAsia="es-ES_tradnl"/>
        </w:rPr>
        <w:t>Solessi</w:t>
      </w:r>
      <w:proofErr w:type="spellEnd"/>
      <w:r w:rsidRPr="00E4098C">
        <w:rPr>
          <w:lang w:val="es-CL" w:eastAsia="es-ES_tradnl"/>
        </w:rPr>
        <w:t xml:space="preserve"> M soledad, Ledesma I, et al. </w:t>
      </w:r>
      <w:r w:rsidRPr="00BD5D56">
        <w:rPr>
          <w:lang w:val="es-CL" w:eastAsia="es-ES_tradnl"/>
        </w:rPr>
        <w:t xml:space="preserve">Leucemia de células vellosas: </w:t>
      </w:r>
      <w:proofErr w:type="gramStart"/>
      <w:r w:rsidRPr="00BD5D56">
        <w:rPr>
          <w:lang w:val="es-CL" w:eastAsia="es-ES_tradnl"/>
        </w:rPr>
        <w:t>estrategias terapéutica</w:t>
      </w:r>
      <w:proofErr w:type="gramEnd"/>
      <w:r w:rsidRPr="00BD5D56">
        <w:rPr>
          <w:lang w:val="es-CL" w:eastAsia="es-ES_tradnl"/>
        </w:rPr>
        <w:t xml:space="preserve">. </w:t>
      </w:r>
      <w:r w:rsidRPr="00E4098C">
        <w:rPr>
          <w:lang w:val="es-CL" w:eastAsia="es-ES_tradnl"/>
        </w:rPr>
        <w:t xml:space="preserve">Revista Argentina de  </w:t>
      </w:r>
      <w:proofErr w:type="spellStart"/>
      <w:r w:rsidRPr="00E4098C">
        <w:rPr>
          <w:lang w:val="es-CL" w:eastAsia="es-ES_tradnl"/>
        </w:rPr>
        <w:t>Hematologia</w:t>
      </w:r>
      <w:proofErr w:type="spellEnd"/>
      <w:r w:rsidRPr="00E4098C">
        <w:rPr>
          <w:lang w:val="es-CL" w:eastAsia="es-ES_tradnl"/>
        </w:rPr>
        <w:t xml:space="preserve"> </w:t>
      </w:r>
      <w:proofErr w:type="spellStart"/>
      <w:r w:rsidRPr="00E4098C">
        <w:rPr>
          <w:lang w:val="es-CL" w:eastAsia="es-ES_tradnl"/>
        </w:rPr>
        <w:t>Vol</w:t>
      </w:r>
      <w:proofErr w:type="spellEnd"/>
      <w:r w:rsidRPr="00E4098C">
        <w:rPr>
          <w:lang w:val="es-CL" w:eastAsia="es-ES_tradnl"/>
        </w:rPr>
        <w:t xml:space="preserve"> 16 N°1, 33-41 Enero- Abril 2012.</w:t>
      </w:r>
    </w:p>
    <w:p w14:paraId="5BCA32BA" w14:textId="77777777" w:rsidR="0099159D" w:rsidRDefault="0099159D" w:rsidP="0099159D">
      <w:pPr>
        <w:pStyle w:val="Prrafodelista"/>
        <w:numPr>
          <w:ilvl w:val="0"/>
          <w:numId w:val="5"/>
        </w:numPr>
        <w:rPr>
          <w:lang w:val="en-US" w:eastAsia="es-ES_tradnl"/>
        </w:rPr>
      </w:pPr>
      <w:proofErr w:type="spellStart"/>
      <w:r w:rsidRPr="00BD5D56">
        <w:rPr>
          <w:lang w:val="en-US" w:eastAsia="es-ES_tradnl"/>
        </w:rPr>
        <w:t>Swerdelow</w:t>
      </w:r>
      <w:proofErr w:type="spellEnd"/>
      <w:r w:rsidRPr="00BD5D56">
        <w:rPr>
          <w:lang w:val="en-US" w:eastAsia="es-ES_tradnl"/>
        </w:rPr>
        <w:t xml:space="preserve"> S, et al WHO </w:t>
      </w:r>
      <w:proofErr w:type="spellStart"/>
      <w:r w:rsidRPr="00BD5D56">
        <w:rPr>
          <w:lang w:val="en-US" w:eastAsia="es-ES_tradnl"/>
        </w:rPr>
        <w:t>Classificaction</w:t>
      </w:r>
      <w:proofErr w:type="spellEnd"/>
      <w:r w:rsidRPr="00BD5D56">
        <w:rPr>
          <w:lang w:val="en-US" w:eastAsia="es-ES_tradnl"/>
        </w:rPr>
        <w:t xml:space="preserve"> of </w:t>
      </w:r>
      <w:proofErr w:type="spellStart"/>
      <w:r w:rsidRPr="00BD5D56">
        <w:rPr>
          <w:lang w:val="en-US" w:eastAsia="es-ES_tradnl"/>
        </w:rPr>
        <w:t>Tumours</w:t>
      </w:r>
      <w:proofErr w:type="spellEnd"/>
      <w:r w:rsidRPr="00BD5D56">
        <w:rPr>
          <w:lang w:val="en-US" w:eastAsia="es-ES_tradnl"/>
        </w:rPr>
        <w:t xml:space="preserve"> of </w:t>
      </w:r>
      <w:proofErr w:type="spellStart"/>
      <w:r w:rsidRPr="00BD5D56">
        <w:rPr>
          <w:lang w:val="en-US" w:eastAsia="es-ES_tradnl"/>
        </w:rPr>
        <w:t>hematopoiectic</w:t>
      </w:r>
      <w:proofErr w:type="spellEnd"/>
      <w:r w:rsidRPr="00BD5D56">
        <w:rPr>
          <w:lang w:val="en-US" w:eastAsia="es-ES_tradnl"/>
        </w:rPr>
        <w:t xml:space="preserve"> and </w:t>
      </w:r>
      <w:proofErr w:type="gramStart"/>
      <w:r w:rsidRPr="00BD5D56">
        <w:rPr>
          <w:lang w:val="en-US" w:eastAsia="es-ES_tradnl"/>
        </w:rPr>
        <w:t>Lymphoid</w:t>
      </w:r>
      <w:proofErr w:type="gramEnd"/>
      <w:r w:rsidRPr="00BD5D56">
        <w:rPr>
          <w:lang w:val="en-US" w:eastAsia="es-ES_tradnl"/>
        </w:rPr>
        <w:t xml:space="preserve"> </w:t>
      </w:r>
      <w:proofErr w:type="spellStart"/>
      <w:r w:rsidRPr="00BD5D56">
        <w:rPr>
          <w:lang w:val="en-US" w:eastAsia="es-ES_tradnl"/>
        </w:rPr>
        <w:t>tisues</w:t>
      </w:r>
      <w:proofErr w:type="spellEnd"/>
      <w:r w:rsidRPr="00BD5D56">
        <w:rPr>
          <w:lang w:val="en-US" w:eastAsia="es-ES_tradnl"/>
        </w:rPr>
        <w:t xml:space="preserve">. 2016. </w:t>
      </w:r>
    </w:p>
    <w:p w14:paraId="7708E9ED" w14:textId="77777777" w:rsidR="0099159D" w:rsidRDefault="0099159D" w:rsidP="0099159D">
      <w:pPr>
        <w:pStyle w:val="Prrafodelista"/>
        <w:numPr>
          <w:ilvl w:val="0"/>
          <w:numId w:val="5"/>
        </w:numPr>
        <w:rPr>
          <w:lang w:val="en-US" w:eastAsia="es-ES_tradnl"/>
        </w:rPr>
      </w:pPr>
      <w:r w:rsidRPr="00BD5D56">
        <w:rPr>
          <w:lang w:val="en-US" w:eastAsia="es-ES_tradnl"/>
        </w:rPr>
        <w:t xml:space="preserve">Quesada J, Reuben JR, Manning JT, </w:t>
      </w:r>
      <w:proofErr w:type="spellStart"/>
      <w:r w:rsidRPr="00BD5D56">
        <w:rPr>
          <w:lang w:val="en-US" w:eastAsia="es-ES_tradnl"/>
        </w:rPr>
        <w:t>Hersch</w:t>
      </w:r>
      <w:proofErr w:type="spellEnd"/>
      <w:r w:rsidRPr="00BD5D56">
        <w:rPr>
          <w:lang w:val="en-US" w:eastAsia="es-ES_tradnl"/>
        </w:rPr>
        <w:t xml:space="preserve"> EM, </w:t>
      </w:r>
      <w:proofErr w:type="spellStart"/>
      <w:r w:rsidRPr="00BD5D56">
        <w:rPr>
          <w:lang w:val="en-US" w:eastAsia="es-ES_tradnl"/>
        </w:rPr>
        <w:t>Gutterman</w:t>
      </w:r>
      <w:proofErr w:type="spellEnd"/>
      <w:r w:rsidRPr="00BD5D56">
        <w:rPr>
          <w:lang w:val="en-US" w:eastAsia="es-ES_tradnl"/>
        </w:rPr>
        <w:t xml:space="preserve"> JU. Alpha interferon for the induction of remission in hairy cell leukemia. N </w:t>
      </w:r>
      <w:proofErr w:type="spellStart"/>
      <w:r w:rsidRPr="00BD5D56">
        <w:rPr>
          <w:lang w:val="en-US" w:eastAsia="es-ES_tradnl"/>
        </w:rPr>
        <w:t>Engl</w:t>
      </w:r>
      <w:proofErr w:type="spellEnd"/>
      <w:r w:rsidRPr="00BD5D56">
        <w:rPr>
          <w:lang w:val="en-US" w:eastAsia="es-ES_tradnl"/>
        </w:rPr>
        <w:t xml:space="preserve"> Med 310; 1984: 15-18. </w:t>
      </w:r>
    </w:p>
    <w:p w14:paraId="2C031991" w14:textId="77777777" w:rsidR="0099159D" w:rsidRDefault="0099159D" w:rsidP="0099159D">
      <w:pPr>
        <w:pStyle w:val="Prrafodelista"/>
        <w:numPr>
          <w:ilvl w:val="0"/>
          <w:numId w:val="5"/>
        </w:numPr>
        <w:rPr>
          <w:lang w:val="en-US" w:eastAsia="es-ES_tradnl"/>
        </w:rPr>
      </w:pPr>
      <w:r w:rsidRPr="00BD5D56">
        <w:rPr>
          <w:lang w:val="en-US" w:eastAsia="es-ES_tradnl"/>
        </w:rPr>
        <w:t xml:space="preserve">Else M, </w:t>
      </w:r>
      <w:proofErr w:type="spellStart"/>
      <w:r w:rsidRPr="00BD5D56">
        <w:rPr>
          <w:lang w:val="en-US" w:eastAsia="es-ES_tradnl"/>
        </w:rPr>
        <w:t>Dearden</w:t>
      </w:r>
      <w:proofErr w:type="spellEnd"/>
      <w:r w:rsidRPr="00BD5D56">
        <w:rPr>
          <w:lang w:val="en-US" w:eastAsia="es-ES_tradnl"/>
        </w:rPr>
        <w:t xml:space="preserve"> CE, </w:t>
      </w:r>
      <w:proofErr w:type="spellStart"/>
      <w:r w:rsidRPr="00BD5D56">
        <w:rPr>
          <w:lang w:val="en-US" w:eastAsia="es-ES_tradnl"/>
        </w:rPr>
        <w:t>Matutes</w:t>
      </w:r>
      <w:proofErr w:type="spellEnd"/>
      <w:r w:rsidRPr="00BD5D56">
        <w:rPr>
          <w:lang w:val="en-US" w:eastAsia="es-ES_tradnl"/>
        </w:rPr>
        <w:t xml:space="preserve"> E. et al. Long-term follow-up of 233 patients with hairy cell </w:t>
      </w:r>
      <w:proofErr w:type="spellStart"/>
      <w:r w:rsidRPr="00BD5D56">
        <w:rPr>
          <w:lang w:val="en-US" w:eastAsia="es-ES_tradnl"/>
        </w:rPr>
        <w:t>leukaemia</w:t>
      </w:r>
      <w:proofErr w:type="spellEnd"/>
      <w:r w:rsidRPr="00BD5D56">
        <w:rPr>
          <w:lang w:val="en-US" w:eastAsia="es-ES_tradnl"/>
        </w:rPr>
        <w:t xml:space="preserve">, treated initially with </w:t>
      </w:r>
      <w:proofErr w:type="spellStart"/>
      <w:r w:rsidRPr="00BD5D56">
        <w:rPr>
          <w:lang w:val="en-US" w:eastAsia="es-ES_tradnl"/>
        </w:rPr>
        <w:t>pentostatin</w:t>
      </w:r>
      <w:proofErr w:type="spellEnd"/>
      <w:r w:rsidRPr="00BD5D56">
        <w:rPr>
          <w:lang w:val="en-US" w:eastAsia="es-ES_tradnl"/>
        </w:rPr>
        <w:t xml:space="preserve"> or </w:t>
      </w:r>
      <w:proofErr w:type="spellStart"/>
      <w:r w:rsidRPr="00BD5D56">
        <w:rPr>
          <w:lang w:val="en-US" w:eastAsia="es-ES_tradnl"/>
        </w:rPr>
        <w:t>cladribine</w:t>
      </w:r>
      <w:proofErr w:type="spellEnd"/>
      <w:r w:rsidRPr="00BD5D56">
        <w:rPr>
          <w:lang w:val="en-US" w:eastAsia="es-ES_tradnl"/>
        </w:rPr>
        <w:t xml:space="preserve">, at a median of 16 years from diagnosis. Br J </w:t>
      </w:r>
      <w:proofErr w:type="spellStart"/>
      <w:r w:rsidRPr="00BD5D56">
        <w:rPr>
          <w:lang w:val="en-US" w:eastAsia="es-ES_tradnl"/>
        </w:rPr>
        <w:t>Haematol</w:t>
      </w:r>
      <w:proofErr w:type="spellEnd"/>
      <w:r w:rsidRPr="00BD5D56">
        <w:rPr>
          <w:lang w:val="en-US" w:eastAsia="es-ES_tradnl"/>
        </w:rPr>
        <w:t xml:space="preserve"> 2009; 145(6): 733-740.</w:t>
      </w:r>
    </w:p>
    <w:p w14:paraId="0DF89BE2" w14:textId="77777777" w:rsidR="0099159D" w:rsidRDefault="0099159D" w:rsidP="0099159D">
      <w:pPr>
        <w:pStyle w:val="Prrafodelista"/>
        <w:numPr>
          <w:ilvl w:val="0"/>
          <w:numId w:val="5"/>
        </w:numPr>
        <w:rPr>
          <w:lang w:val="en-US" w:eastAsia="es-ES_tradnl"/>
        </w:rPr>
      </w:pPr>
      <w:r w:rsidRPr="00BD5D56">
        <w:rPr>
          <w:lang w:val="en-US" w:eastAsia="es-ES_tradnl"/>
        </w:rPr>
        <w:t xml:space="preserve"> </w:t>
      </w:r>
      <w:proofErr w:type="spellStart"/>
      <w:r w:rsidRPr="00BD5D56">
        <w:rPr>
          <w:lang w:val="en-US" w:eastAsia="es-ES_tradnl"/>
        </w:rPr>
        <w:t>Robak</w:t>
      </w:r>
      <w:proofErr w:type="spellEnd"/>
      <w:r w:rsidRPr="00BD5D56">
        <w:rPr>
          <w:lang w:val="en-US" w:eastAsia="es-ES_tradnl"/>
        </w:rPr>
        <w:t xml:space="preserve"> T. Current treatment options in hairy cell leukemia and hairy cell leukemia variant. Cancer Treat Rev 2007; 32(5): 365-376.</w:t>
      </w:r>
    </w:p>
    <w:p w14:paraId="1580D62A" w14:textId="77777777" w:rsidR="0099159D" w:rsidRDefault="0099159D" w:rsidP="0099159D">
      <w:pPr>
        <w:pStyle w:val="Prrafodelista"/>
        <w:numPr>
          <w:ilvl w:val="0"/>
          <w:numId w:val="5"/>
        </w:numPr>
        <w:rPr>
          <w:lang w:val="en-US" w:eastAsia="es-ES_tradnl"/>
        </w:rPr>
      </w:pPr>
      <w:r w:rsidRPr="00BD5D56">
        <w:rPr>
          <w:lang w:val="en-US" w:eastAsia="es-ES_tradnl"/>
        </w:rPr>
        <w:t xml:space="preserve"> </w:t>
      </w:r>
      <w:proofErr w:type="spellStart"/>
      <w:r w:rsidRPr="00BD5D56">
        <w:rPr>
          <w:lang w:val="en-US" w:eastAsia="es-ES_tradnl"/>
        </w:rPr>
        <w:t>Grever</w:t>
      </w:r>
      <w:proofErr w:type="spellEnd"/>
      <w:r w:rsidRPr="00BD5D56">
        <w:rPr>
          <w:lang w:val="en-US" w:eastAsia="es-ES_tradnl"/>
        </w:rPr>
        <w:t xml:space="preserve"> M.R. How I treat hairy cell leukemia. Blood 2010; 115: 21-27</w:t>
      </w:r>
    </w:p>
    <w:p w14:paraId="0AA4D16B" w14:textId="77777777" w:rsidR="0099159D" w:rsidRDefault="0099159D" w:rsidP="0099159D">
      <w:pPr>
        <w:pStyle w:val="Prrafodelista"/>
        <w:numPr>
          <w:ilvl w:val="0"/>
          <w:numId w:val="5"/>
        </w:numPr>
        <w:rPr>
          <w:lang w:val="en-US" w:eastAsia="es-ES_tradnl"/>
        </w:rPr>
      </w:pPr>
      <w:proofErr w:type="spellStart"/>
      <w:r w:rsidRPr="00BD5D56">
        <w:rPr>
          <w:lang w:val="en-US" w:eastAsia="es-ES_tradnl"/>
        </w:rPr>
        <w:t>Juliusson</w:t>
      </w:r>
      <w:proofErr w:type="spellEnd"/>
      <w:r w:rsidRPr="00BD5D56">
        <w:rPr>
          <w:lang w:val="en-US" w:eastAsia="es-ES_tradnl"/>
        </w:rPr>
        <w:t xml:space="preserve"> G, </w:t>
      </w:r>
      <w:proofErr w:type="spellStart"/>
      <w:r w:rsidRPr="00BD5D56">
        <w:rPr>
          <w:lang w:val="en-US" w:eastAsia="es-ES_tradnl"/>
        </w:rPr>
        <w:t>Liliemark</w:t>
      </w:r>
      <w:proofErr w:type="spellEnd"/>
      <w:r w:rsidRPr="00BD5D56">
        <w:rPr>
          <w:lang w:val="en-US" w:eastAsia="es-ES_tradnl"/>
        </w:rPr>
        <w:t xml:space="preserve"> J. Purine Analogues: Rationale for Development, </w:t>
      </w:r>
      <w:proofErr w:type="spellStart"/>
      <w:r w:rsidRPr="00BD5D56">
        <w:rPr>
          <w:lang w:val="en-US" w:eastAsia="es-ES_tradnl"/>
        </w:rPr>
        <w:t>Mechanismsof</w:t>
      </w:r>
      <w:proofErr w:type="spellEnd"/>
      <w:r w:rsidRPr="00BD5D56">
        <w:rPr>
          <w:lang w:val="en-US" w:eastAsia="es-ES_tradnl"/>
        </w:rPr>
        <w:t xml:space="preserve"> Action, and Pharmacokinetics in Hairy Cell Leukemia. </w:t>
      </w:r>
      <w:proofErr w:type="spellStart"/>
      <w:r w:rsidRPr="00BD5D56">
        <w:rPr>
          <w:lang w:val="en-US" w:eastAsia="es-ES_tradnl"/>
        </w:rPr>
        <w:t>Hematol</w:t>
      </w:r>
      <w:proofErr w:type="spellEnd"/>
      <w:r w:rsidRPr="00BD5D56">
        <w:rPr>
          <w:lang w:val="en-US" w:eastAsia="es-ES_tradnl"/>
        </w:rPr>
        <w:t xml:space="preserve"> </w:t>
      </w:r>
      <w:proofErr w:type="spellStart"/>
      <w:r w:rsidRPr="00BD5D56">
        <w:rPr>
          <w:lang w:val="en-US" w:eastAsia="es-ES_tradnl"/>
        </w:rPr>
        <w:t>O</w:t>
      </w:r>
      <w:r>
        <w:rPr>
          <w:lang w:val="en-US" w:eastAsia="es-ES_tradnl"/>
        </w:rPr>
        <w:t>ncol</w:t>
      </w:r>
      <w:proofErr w:type="spellEnd"/>
      <w:r>
        <w:rPr>
          <w:lang w:val="en-US" w:eastAsia="es-ES_tradnl"/>
        </w:rPr>
        <w:t xml:space="preserve"> </w:t>
      </w:r>
      <w:proofErr w:type="spellStart"/>
      <w:r>
        <w:rPr>
          <w:lang w:val="en-US" w:eastAsia="es-ES_tradnl"/>
        </w:rPr>
        <w:t>Clin</w:t>
      </w:r>
      <w:proofErr w:type="spellEnd"/>
      <w:r>
        <w:rPr>
          <w:lang w:val="en-US" w:eastAsia="es-ES_tradnl"/>
        </w:rPr>
        <w:t xml:space="preserve"> N Am 2006; 1087-1097.</w:t>
      </w:r>
    </w:p>
    <w:p w14:paraId="5F48F3C8" w14:textId="77777777" w:rsidR="00D5663B" w:rsidRDefault="00D5663B" w:rsidP="00EE4A9A">
      <w:pPr>
        <w:ind w:right="13"/>
        <w:jc w:val="both"/>
        <w:rPr>
          <w:rFonts w:ascii="Arial" w:hAnsi="Arial" w:cs="Arial"/>
          <w:sz w:val="20"/>
          <w:szCs w:val="20"/>
        </w:rPr>
      </w:pPr>
    </w:p>
    <w:p w14:paraId="0CBD2B7B" w14:textId="77777777" w:rsidR="00D5663B" w:rsidRDefault="00D5663B" w:rsidP="00EE4A9A">
      <w:pPr>
        <w:ind w:right="13"/>
        <w:jc w:val="both"/>
        <w:rPr>
          <w:rFonts w:ascii="Arial" w:hAnsi="Arial" w:cs="Arial"/>
          <w:sz w:val="20"/>
          <w:szCs w:val="20"/>
        </w:rPr>
      </w:pPr>
    </w:p>
    <w:p w14:paraId="661A36BA" w14:textId="77777777" w:rsidR="00D5663B" w:rsidRDefault="00D5663B" w:rsidP="00EE4A9A">
      <w:pPr>
        <w:ind w:right="13"/>
        <w:jc w:val="both"/>
        <w:rPr>
          <w:rFonts w:ascii="Arial" w:hAnsi="Arial" w:cs="Arial"/>
          <w:sz w:val="20"/>
          <w:szCs w:val="20"/>
        </w:rPr>
      </w:pPr>
    </w:p>
    <w:p w14:paraId="16B257C9" w14:textId="77777777" w:rsidR="00D5663B" w:rsidRDefault="00D5663B" w:rsidP="00EE4A9A">
      <w:pPr>
        <w:ind w:right="13"/>
        <w:jc w:val="both"/>
        <w:rPr>
          <w:rFonts w:ascii="Arial" w:hAnsi="Arial" w:cs="Arial"/>
          <w:sz w:val="20"/>
          <w:szCs w:val="20"/>
        </w:rPr>
      </w:pPr>
    </w:p>
    <w:p w14:paraId="52DE882B" w14:textId="77777777" w:rsidR="00D5663B" w:rsidRDefault="00D5663B" w:rsidP="00EE4A9A">
      <w:pPr>
        <w:ind w:right="13"/>
        <w:jc w:val="both"/>
        <w:rPr>
          <w:rFonts w:ascii="Arial" w:hAnsi="Arial" w:cs="Arial"/>
          <w:sz w:val="20"/>
          <w:szCs w:val="20"/>
        </w:rPr>
      </w:pPr>
    </w:p>
    <w:p w14:paraId="3E1AC4C5" w14:textId="77777777" w:rsidR="00D5663B" w:rsidRDefault="00D5663B" w:rsidP="00EE4A9A">
      <w:pPr>
        <w:ind w:right="13"/>
        <w:jc w:val="both"/>
        <w:rPr>
          <w:rFonts w:ascii="Arial" w:hAnsi="Arial" w:cs="Arial"/>
          <w:sz w:val="20"/>
          <w:szCs w:val="20"/>
        </w:rPr>
      </w:pPr>
    </w:p>
    <w:p w14:paraId="755538A7" w14:textId="77777777" w:rsidR="00D5663B" w:rsidRDefault="00D5663B" w:rsidP="00D5663B">
      <w:pPr>
        <w:spacing w:after="160" w:line="259" w:lineRule="auto"/>
        <w:contextualSpacing/>
        <w:jc w:val="center"/>
        <w:rPr>
          <w:rFonts w:ascii="Arial" w:hAnsi="Arial" w:cs="Arial"/>
          <w:b/>
        </w:rPr>
      </w:pPr>
      <w:r>
        <w:rPr>
          <w:rFonts w:ascii="Arial" w:hAnsi="Arial" w:cs="Arial"/>
          <w:b/>
          <w:noProof/>
          <w:lang w:val="es-CL" w:eastAsia="es-CL"/>
        </w:rPr>
        <w:drawing>
          <wp:inline distT="0" distB="0" distL="0" distR="0" wp14:anchorId="5FBFDFCB" wp14:editId="5EF947E9">
            <wp:extent cx="3276600" cy="87779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7199" cy="883314"/>
                    </a:xfrm>
                    <a:prstGeom prst="rect">
                      <a:avLst/>
                    </a:prstGeom>
                    <a:noFill/>
                    <a:ln>
                      <a:noFill/>
                    </a:ln>
                  </pic:spPr>
                </pic:pic>
              </a:graphicData>
            </a:graphic>
          </wp:inline>
        </w:drawing>
      </w:r>
    </w:p>
    <w:p w14:paraId="616B45B1" w14:textId="77777777" w:rsidR="00D5663B" w:rsidRDefault="00D5663B" w:rsidP="00D5663B">
      <w:pPr>
        <w:spacing w:after="160" w:line="259" w:lineRule="auto"/>
        <w:contextualSpacing/>
        <w:jc w:val="center"/>
        <w:rPr>
          <w:rFonts w:ascii="Arial" w:hAnsi="Arial" w:cs="Arial"/>
          <w:b/>
        </w:rPr>
      </w:pPr>
    </w:p>
    <w:p w14:paraId="6B5D8E36" w14:textId="77777777" w:rsidR="00D5663B" w:rsidRDefault="00D5663B" w:rsidP="00D5663B">
      <w:pPr>
        <w:spacing w:after="160" w:line="259" w:lineRule="auto"/>
        <w:contextualSpacing/>
        <w:jc w:val="center"/>
        <w:rPr>
          <w:rFonts w:ascii="Arial" w:hAnsi="Arial" w:cs="Arial"/>
          <w:b/>
        </w:rPr>
      </w:pPr>
      <w:r w:rsidRPr="003B1037">
        <w:rPr>
          <w:rFonts w:ascii="Arial" w:hAnsi="Arial" w:cs="Arial"/>
          <w:b/>
        </w:rPr>
        <w:t>Grupo GELL</w:t>
      </w:r>
      <w:r>
        <w:rPr>
          <w:rFonts w:ascii="Arial" w:hAnsi="Arial" w:cs="Arial"/>
          <w:b/>
        </w:rPr>
        <w:t xml:space="preserve"> – Proyecto </w:t>
      </w:r>
      <w:proofErr w:type="spellStart"/>
      <w:r>
        <w:rPr>
          <w:rFonts w:ascii="Arial" w:hAnsi="Arial" w:cs="Arial"/>
          <w:b/>
        </w:rPr>
        <w:t>Tricoleucemia</w:t>
      </w:r>
      <w:proofErr w:type="spellEnd"/>
    </w:p>
    <w:p w14:paraId="7F259191" w14:textId="77777777" w:rsidR="00D5663B" w:rsidRDefault="00D5663B" w:rsidP="00D5663B">
      <w:pPr>
        <w:spacing w:after="160" w:line="259" w:lineRule="auto"/>
        <w:contextualSpacing/>
        <w:jc w:val="center"/>
        <w:rPr>
          <w:rFonts w:ascii="Arial" w:hAnsi="Arial" w:cs="Arial"/>
          <w:b/>
        </w:rPr>
      </w:pPr>
    </w:p>
    <w:p w14:paraId="5F4E73DD" w14:textId="77777777" w:rsidR="00D5663B" w:rsidRPr="004662BE" w:rsidRDefault="00D5663B" w:rsidP="00D5663B">
      <w:pPr>
        <w:ind w:right="13"/>
        <w:jc w:val="both"/>
        <w:rPr>
          <w:rFonts w:ascii="Arial" w:hAnsi="Arial" w:cs="Arial"/>
          <w:b/>
          <w:bCs/>
        </w:rPr>
      </w:pPr>
      <w:r w:rsidRPr="004662BE">
        <w:rPr>
          <w:rFonts w:ascii="Arial" w:hAnsi="Arial" w:cs="Arial"/>
          <w:b/>
          <w:bCs/>
        </w:rPr>
        <w:t>Análisis</w:t>
      </w:r>
      <w:r>
        <w:rPr>
          <w:rFonts w:ascii="Arial" w:hAnsi="Arial" w:cs="Arial"/>
          <w:b/>
          <w:bCs/>
        </w:rPr>
        <w:t xml:space="preserve"> de las características y </w:t>
      </w:r>
      <w:r w:rsidRPr="004662BE">
        <w:rPr>
          <w:rFonts w:ascii="Arial" w:hAnsi="Arial" w:cs="Arial"/>
          <w:b/>
          <w:bCs/>
        </w:rPr>
        <w:t xml:space="preserve"> de los desen</w:t>
      </w:r>
      <w:r>
        <w:rPr>
          <w:rFonts w:ascii="Arial" w:hAnsi="Arial" w:cs="Arial"/>
          <w:b/>
          <w:bCs/>
        </w:rPr>
        <w:t>laces del tratamiento</w:t>
      </w:r>
      <w:r w:rsidRPr="004662BE">
        <w:rPr>
          <w:rFonts w:ascii="Arial" w:hAnsi="Arial" w:cs="Arial"/>
          <w:b/>
          <w:bCs/>
        </w:rPr>
        <w:t xml:space="preserve"> en pacientes con </w:t>
      </w:r>
      <w:proofErr w:type="spellStart"/>
      <w:r>
        <w:rPr>
          <w:rFonts w:ascii="Arial" w:hAnsi="Arial" w:cs="Arial"/>
          <w:b/>
          <w:bCs/>
        </w:rPr>
        <w:t>Tricoleucemia</w:t>
      </w:r>
      <w:proofErr w:type="spellEnd"/>
      <w:r>
        <w:rPr>
          <w:rFonts w:ascii="Arial" w:hAnsi="Arial" w:cs="Arial"/>
          <w:b/>
          <w:bCs/>
        </w:rPr>
        <w:t xml:space="preserve"> </w:t>
      </w:r>
      <w:r w:rsidRPr="004662BE">
        <w:rPr>
          <w:rFonts w:ascii="Arial" w:hAnsi="Arial" w:cs="Arial"/>
          <w:b/>
          <w:bCs/>
        </w:rPr>
        <w:t>atendidos en Centros de Referencia O</w:t>
      </w:r>
      <w:r>
        <w:rPr>
          <w:rFonts w:ascii="Arial" w:hAnsi="Arial" w:cs="Arial"/>
          <w:b/>
          <w:bCs/>
        </w:rPr>
        <w:t>ncológicos en Latinoamérica 2010-2022</w:t>
      </w:r>
    </w:p>
    <w:p w14:paraId="23FB89AB" w14:textId="77777777" w:rsidR="00D5663B" w:rsidRPr="00490588" w:rsidRDefault="00D5663B" w:rsidP="00EE4A9A">
      <w:pPr>
        <w:ind w:right="13"/>
        <w:jc w:val="both"/>
        <w:rPr>
          <w:rFonts w:ascii="Arial" w:hAnsi="Arial" w:cs="Arial"/>
          <w:sz w:val="20"/>
          <w:szCs w:val="20"/>
        </w:rPr>
      </w:pPr>
    </w:p>
    <w:p w14:paraId="22984948" w14:textId="1D243D7E" w:rsidR="00EE4A9A" w:rsidRDefault="00F67328" w:rsidP="00EE4A9A">
      <w:pPr>
        <w:ind w:right="13"/>
        <w:jc w:val="both"/>
        <w:rPr>
          <w:rFonts w:ascii="Arial" w:hAnsi="Arial" w:cs="Arial"/>
          <w:b/>
          <w:bCs/>
        </w:rPr>
      </w:pPr>
      <w:r>
        <w:rPr>
          <w:rFonts w:ascii="Arial" w:hAnsi="Arial" w:cs="Arial"/>
          <w:b/>
          <w:bCs/>
        </w:rPr>
        <w:t>Introducción</w:t>
      </w:r>
    </w:p>
    <w:p w14:paraId="296C16CB" w14:textId="77777777" w:rsidR="00F67328" w:rsidRPr="004662BE" w:rsidRDefault="00F67328" w:rsidP="00EE4A9A">
      <w:pPr>
        <w:ind w:right="13"/>
        <w:jc w:val="both"/>
        <w:rPr>
          <w:rFonts w:ascii="Arial" w:hAnsi="Arial" w:cs="Arial"/>
          <w:b/>
          <w:bCs/>
        </w:rPr>
      </w:pPr>
    </w:p>
    <w:p w14:paraId="4F8E2D75" w14:textId="169D1074" w:rsidR="00767494" w:rsidRPr="00E4098C" w:rsidRDefault="00767494" w:rsidP="00E4098C">
      <w:pPr>
        <w:pStyle w:val="Default"/>
        <w:jc w:val="both"/>
        <w:rPr>
          <w:sz w:val="22"/>
          <w:szCs w:val="22"/>
        </w:rPr>
      </w:pPr>
      <w:r w:rsidRPr="00E4098C">
        <w:rPr>
          <w:sz w:val="22"/>
          <w:szCs w:val="22"/>
        </w:rPr>
        <w:t xml:space="preserve">La </w:t>
      </w:r>
      <w:proofErr w:type="spellStart"/>
      <w:r w:rsidRPr="00E4098C">
        <w:rPr>
          <w:sz w:val="22"/>
          <w:szCs w:val="22"/>
        </w:rPr>
        <w:t>Tricoleucemia</w:t>
      </w:r>
      <w:proofErr w:type="spellEnd"/>
      <w:r w:rsidRPr="00E4098C">
        <w:rPr>
          <w:sz w:val="22"/>
          <w:szCs w:val="22"/>
        </w:rPr>
        <w:t xml:space="preserve"> es un síndrome </w:t>
      </w:r>
      <w:proofErr w:type="spellStart"/>
      <w:r w:rsidRPr="00E4098C">
        <w:rPr>
          <w:sz w:val="22"/>
          <w:szCs w:val="22"/>
        </w:rPr>
        <w:t>linfoproliferativo</w:t>
      </w:r>
      <w:proofErr w:type="spellEnd"/>
      <w:r w:rsidRPr="00E4098C">
        <w:rPr>
          <w:sz w:val="22"/>
          <w:szCs w:val="22"/>
        </w:rPr>
        <w:t>, de curso indolente, que constituye el 2% de la</w:t>
      </w:r>
      <w:r w:rsidR="00E4098C">
        <w:rPr>
          <w:sz w:val="22"/>
          <w:szCs w:val="22"/>
        </w:rPr>
        <w:t>s leucemias del adulto</w:t>
      </w:r>
      <w:r w:rsidRPr="00E4098C">
        <w:rPr>
          <w:sz w:val="22"/>
          <w:szCs w:val="22"/>
        </w:rPr>
        <w:t>. Clínicamente se caracteriza por presentar síntomas como astenia, y fatigabilidad, la mayoría de ellas presentan una esplenomegalia importante y gran susceptibilidad a infecciones oportunistas.</w:t>
      </w:r>
    </w:p>
    <w:p w14:paraId="1C72BF65" w14:textId="78417EE2" w:rsidR="00767494" w:rsidRPr="00E4098C" w:rsidRDefault="00767494" w:rsidP="00E4098C">
      <w:pPr>
        <w:pStyle w:val="Default"/>
        <w:jc w:val="both"/>
        <w:rPr>
          <w:sz w:val="22"/>
          <w:szCs w:val="22"/>
        </w:rPr>
      </w:pPr>
      <w:r w:rsidRPr="00E4098C">
        <w:rPr>
          <w:sz w:val="22"/>
          <w:szCs w:val="22"/>
        </w:rPr>
        <w:t xml:space="preserve">El diagnóstico se basa en  el estudio de sangre periférica /Médula ósea,  que detecta linfocitos anormales, habitualmente con prolongaciones </w:t>
      </w:r>
      <w:r w:rsidR="00DF26DD">
        <w:rPr>
          <w:sz w:val="22"/>
          <w:szCs w:val="22"/>
        </w:rPr>
        <w:t>citoplasmáticas características</w:t>
      </w:r>
      <w:bookmarkStart w:id="0" w:name="_GoBack"/>
      <w:bookmarkEnd w:id="0"/>
      <w:r w:rsidRPr="00E4098C">
        <w:rPr>
          <w:sz w:val="22"/>
          <w:szCs w:val="22"/>
        </w:rPr>
        <w:t xml:space="preserve">.  La confirmación diagnóstica se realiza mediante </w:t>
      </w:r>
      <w:proofErr w:type="spellStart"/>
      <w:r w:rsidRPr="00E4098C">
        <w:rPr>
          <w:sz w:val="22"/>
          <w:szCs w:val="22"/>
        </w:rPr>
        <w:t>citometría</w:t>
      </w:r>
      <w:proofErr w:type="spellEnd"/>
      <w:r w:rsidRPr="00E4098C">
        <w:rPr>
          <w:sz w:val="22"/>
          <w:szCs w:val="22"/>
        </w:rPr>
        <w:t xml:space="preserve"> de flujo y la biopsia de médula ósea.</w:t>
      </w:r>
    </w:p>
    <w:p w14:paraId="2373BF47" w14:textId="38E9067E" w:rsidR="00767494" w:rsidRPr="00E4098C" w:rsidRDefault="00767494" w:rsidP="00E4098C">
      <w:pPr>
        <w:pStyle w:val="Default"/>
        <w:jc w:val="both"/>
        <w:rPr>
          <w:sz w:val="22"/>
          <w:szCs w:val="22"/>
        </w:rPr>
      </w:pPr>
      <w:r w:rsidRPr="00E4098C">
        <w:rPr>
          <w:sz w:val="22"/>
          <w:szCs w:val="22"/>
        </w:rPr>
        <w:t xml:space="preserve">En la actualidad,  se ha convertido en una patología de buen pronóstico, gracias a la incorporación de los análogos de purinas, como lo son: </w:t>
      </w:r>
      <w:proofErr w:type="spellStart"/>
      <w:r w:rsidRPr="00E4098C">
        <w:rPr>
          <w:sz w:val="22"/>
          <w:szCs w:val="22"/>
        </w:rPr>
        <w:t>Cladribina</w:t>
      </w:r>
      <w:proofErr w:type="spellEnd"/>
      <w:r w:rsidRPr="00E4098C">
        <w:rPr>
          <w:sz w:val="22"/>
          <w:szCs w:val="22"/>
        </w:rPr>
        <w:t xml:space="preserve"> y la </w:t>
      </w:r>
      <w:proofErr w:type="spellStart"/>
      <w:r w:rsidRPr="00E4098C">
        <w:rPr>
          <w:sz w:val="22"/>
          <w:szCs w:val="22"/>
        </w:rPr>
        <w:t>Pentostatina</w:t>
      </w:r>
      <w:proofErr w:type="spellEnd"/>
      <w:r w:rsidRPr="00E4098C">
        <w:rPr>
          <w:sz w:val="22"/>
          <w:szCs w:val="22"/>
        </w:rPr>
        <w:t xml:space="preserve"> con ellos, se ha logrado alcanzar tasas de remisiones completas cerca de 85%, con una sobrevida media de alrededor de 16 años. Las tasas de recaídas oscilan entre el 25 al 30% a los 5 años de seguimiento.  En recaídas el uso de anticuerpos monoclonales anti CD20 ha mejorado el pronóstico, así como los inhibidores de BRAF. En Latinoamérica no existe datos epidemiológicos, clínicos ni trabajos con datos actualizados de los resultados a corto y largo plazo de las estrategias terapéuticas, aplicadas a la leucemia de células velludas , ni evaluación de acceso al uso de agentes novedosos, desenlaces , ni evaluación de complicaciones dado la </w:t>
      </w:r>
      <w:proofErr w:type="spellStart"/>
      <w:r w:rsidRPr="00E4098C">
        <w:rPr>
          <w:sz w:val="22"/>
          <w:szCs w:val="22"/>
        </w:rPr>
        <w:t>citopenias</w:t>
      </w:r>
      <w:proofErr w:type="spellEnd"/>
      <w:r w:rsidRPr="00E4098C">
        <w:rPr>
          <w:sz w:val="22"/>
          <w:szCs w:val="22"/>
        </w:rPr>
        <w:t xml:space="preserve"> producidas por la enfermedad y por la terapia. </w:t>
      </w:r>
    </w:p>
    <w:p w14:paraId="548362E4" w14:textId="4720955C" w:rsidR="00EE4A9A" w:rsidRPr="00E4098C" w:rsidRDefault="00767494" w:rsidP="00E4098C">
      <w:pPr>
        <w:pStyle w:val="Default"/>
        <w:jc w:val="both"/>
        <w:rPr>
          <w:sz w:val="22"/>
          <w:szCs w:val="22"/>
        </w:rPr>
      </w:pPr>
      <w:r w:rsidRPr="00E4098C">
        <w:rPr>
          <w:sz w:val="22"/>
          <w:szCs w:val="22"/>
        </w:rPr>
        <w:t>Teniendo en cuenta lo anterior</w:t>
      </w:r>
      <w:r w:rsidR="00EE4A9A" w:rsidRPr="00E4098C">
        <w:rPr>
          <w:sz w:val="22"/>
          <w:szCs w:val="22"/>
        </w:rPr>
        <w:t xml:space="preserve">, resulta fundamental conocer cuáles son los regímenes más utilizados en la institución y describir las respuestas alcanzadas con los mismos, </w:t>
      </w:r>
      <w:r w:rsidRPr="00E4098C">
        <w:rPr>
          <w:sz w:val="22"/>
          <w:szCs w:val="22"/>
        </w:rPr>
        <w:t xml:space="preserve"> la complicaciones </w:t>
      </w:r>
      <w:proofErr w:type="gramStart"/>
      <w:r w:rsidRPr="00E4098C">
        <w:rPr>
          <w:sz w:val="22"/>
          <w:szCs w:val="22"/>
        </w:rPr>
        <w:t>infecciosas ,</w:t>
      </w:r>
      <w:proofErr w:type="gramEnd"/>
      <w:r w:rsidRPr="00E4098C">
        <w:rPr>
          <w:sz w:val="22"/>
          <w:szCs w:val="22"/>
        </w:rPr>
        <w:t xml:space="preserve"> uso de recursos hospitalarios como </w:t>
      </w:r>
      <w:r w:rsidR="00DF26DD" w:rsidRPr="00E4098C">
        <w:rPr>
          <w:sz w:val="22"/>
          <w:szCs w:val="22"/>
        </w:rPr>
        <w:t>trasfusiones</w:t>
      </w:r>
      <w:r w:rsidRPr="00E4098C">
        <w:rPr>
          <w:sz w:val="22"/>
          <w:szCs w:val="22"/>
        </w:rPr>
        <w:t xml:space="preserve"> , estimulantes de colonias de granulocitos ,  </w:t>
      </w:r>
      <w:r w:rsidR="00DF26DD" w:rsidRPr="00E4098C">
        <w:rPr>
          <w:sz w:val="22"/>
          <w:szCs w:val="22"/>
        </w:rPr>
        <w:t>etc.</w:t>
      </w:r>
      <w:r w:rsidR="00DF26DD">
        <w:rPr>
          <w:sz w:val="22"/>
          <w:szCs w:val="22"/>
        </w:rPr>
        <w:t xml:space="preserve"> E</w:t>
      </w:r>
      <w:r w:rsidR="00EE4A9A" w:rsidRPr="00E4098C">
        <w:rPr>
          <w:sz w:val="22"/>
          <w:szCs w:val="22"/>
        </w:rPr>
        <w:t>n aras de establecer en posteriores guías de práctica clínica la mejor alternativa terapéutica para nuestra población de pacientes.</w:t>
      </w:r>
    </w:p>
    <w:p w14:paraId="4F75B957" w14:textId="77777777" w:rsidR="00EE4A9A" w:rsidRPr="00E4098C" w:rsidRDefault="00EE4A9A" w:rsidP="00E4098C">
      <w:pPr>
        <w:ind w:right="13"/>
        <w:jc w:val="both"/>
        <w:rPr>
          <w:rFonts w:ascii="Arial" w:eastAsia="Arial" w:hAnsi="Arial" w:cs="Arial"/>
          <w:sz w:val="22"/>
          <w:szCs w:val="22"/>
        </w:rPr>
      </w:pPr>
    </w:p>
    <w:p w14:paraId="725429C0" w14:textId="77777777" w:rsidR="00EE4A9A" w:rsidRPr="00E4098C" w:rsidRDefault="00EE4A9A" w:rsidP="00E4098C">
      <w:pPr>
        <w:ind w:right="13"/>
        <w:jc w:val="both"/>
        <w:rPr>
          <w:rFonts w:ascii="Arial" w:eastAsia="Arial" w:hAnsi="Arial" w:cs="Arial"/>
          <w:sz w:val="22"/>
          <w:szCs w:val="22"/>
        </w:rPr>
      </w:pPr>
    </w:p>
    <w:p w14:paraId="21D2A137" w14:textId="77777777" w:rsidR="00EE4A9A" w:rsidRPr="00E4098C" w:rsidRDefault="00EE4A9A" w:rsidP="00E4098C">
      <w:pPr>
        <w:ind w:right="13"/>
        <w:jc w:val="both"/>
        <w:rPr>
          <w:rFonts w:ascii="Arial" w:eastAsia="Arial" w:hAnsi="Arial" w:cs="Arial"/>
          <w:b/>
          <w:color w:val="000000"/>
          <w:sz w:val="22"/>
          <w:szCs w:val="22"/>
        </w:rPr>
      </w:pPr>
      <w:r w:rsidRPr="00E4098C">
        <w:rPr>
          <w:rFonts w:ascii="Arial" w:eastAsia="Arial" w:hAnsi="Arial" w:cs="Arial"/>
          <w:b/>
          <w:color w:val="000000"/>
          <w:sz w:val="22"/>
          <w:szCs w:val="22"/>
        </w:rPr>
        <w:t>OBJETIVOS</w:t>
      </w:r>
    </w:p>
    <w:p w14:paraId="287F7534" w14:textId="77777777" w:rsidR="00EE4A9A" w:rsidRPr="00E4098C" w:rsidRDefault="00EE4A9A" w:rsidP="00E4098C">
      <w:pPr>
        <w:pStyle w:val="Default"/>
        <w:jc w:val="both"/>
        <w:rPr>
          <w:sz w:val="22"/>
          <w:szCs w:val="22"/>
        </w:rPr>
      </w:pPr>
    </w:p>
    <w:p w14:paraId="3CC00489" w14:textId="77777777" w:rsidR="00EE4A9A" w:rsidRPr="00E4098C" w:rsidRDefault="00EE4A9A" w:rsidP="00E4098C">
      <w:pPr>
        <w:pStyle w:val="Default"/>
        <w:jc w:val="both"/>
        <w:rPr>
          <w:b/>
          <w:sz w:val="22"/>
          <w:szCs w:val="22"/>
        </w:rPr>
      </w:pPr>
      <w:r w:rsidRPr="00E4098C">
        <w:rPr>
          <w:b/>
          <w:sz w:val="22"/>
          <w:szCs w:val="22"/>
        </w:rPr>
        <w:t>General</w:t>
      </w:r>
    </w:p>
    <w:p w14:paraId="2D7AE1E6" w14:textId="77777777" w:rsidR="00EE4A9A" w:rsidRPr="00E4098C" w:rsidRDefault="00EE4A9A" w:rsidP="00E4098C">
      <w:pPr>
        <w:pStyle w:val="Default"/>
        <w:jc w:val="both"/>
        <w:rPr>
          <w:sz w:val="22"/>
          <w:szCs w:val="22"/>
        </w:rPr>
      </w:pPr>
    </w:p>
    <w:p w14:paraId="1872452D" w14:textId="77777777" w:rsidR="00767494" w:rsidRPr="00E4098C" w:rsidRDefault="00767494" w:rsidP="00E4098C">
      <w:pPr>
        <w:pStyle w:val="Default"/>
        <w:jc w:val="both"/>
        <w:rPr>
          <w:sz w:val="22"/>
          <w:szCs w:val="22"/>
        </w:rPr>
      </w:pPr>
      <w:r w:rsidRPr="00E4098C">
        <w:rPr>
          <w:sz w:val="22"/>
          <w:szCs w:val="22"/>
        </w:rPr>
        <w:t xml:space="preserve">Describir las características clínico demográficas  y los resultados oncológicos del tratamiento en pacientes con </w:t>
      </w:r>
    </w:p>
    <w:p w14:paraId="72D47C60" w14:textId="77777777" w:rsidR="00767494" w:rsidRPr="00E4098C" w:rsidRDefault="00767494" w:rsidP="00E4098C">
      <w:pPr>
        <w:pStyle w:val="Default"/>
        <w:jc w:val="both"/>
        <w:rPr>
          <w:sz w:val="22"/>
          <w:szCs w:val="22"/>
        </w:rPr>
      </w:pPr>
      <w:proofErr w:type="spellStart"/>
      <w:r w:rsidRPr="00E4098C">
        <w:rPr>
          <w:sz w:val="22"/>
          <w:szCs w:val="22"/>
        </w:rPr>
        <w:t>Tricoleucemia</w:t>
      </w:r>
      <w:proofErr w:type="spellEnd"/>
      <w:r w:rsidRPr="00E4098C">
        <w:rPr>
          <w:sz w:val="22"/>
          <w:szCs w:val="22"/>
        </w:rPr>
        <w:t xml:space="preserve"> atendidos en Centros de Referencia Oncológicos en Latinoamérica que pertenecen al grupo GELL durante el periodo comprendido entre 2010 a 2022.</w:t>
      </w:r>
    </w:p>
    <w:p w14:paraId="2CECA8E7" w14:textId="1A09CCD2" w:rsidR="00EE4A9A" w:rsidRPr="00E4098C" w:rsidRDefault="00EE4A9A" w:rsidP="00E4098C">
      <w:pPr>
        <w:pStyle w:val="Default"/>
        <w:jc w:val="both"/>
        <w:rPr>
          <w:sz w:val="22"/>
          <w:szCs w:val="22"/>
        </w:rPr>
      </w:pPr>
    </w:p>
    <w:p w14:paraId="0E186F93" w14:textId="77777777" w:rsidR="00EE4A9A" w:rsidRPr="00E4098C" w:rsidRDefault="00EE4A9A" w:rsidP="00E4098C">
      <w:pPr>
        <w:jc w:val="both"/>
        <w:rPr>
          <w:rFonts w:ascii="Arial" w:hAnsi="Arial" w:cs="Arial"/>
          <w:b/>
          <w:bCs/>
          <w:sz w:val="22"/>
          <w:szCs w:val="22"/>
          <w:lang w:eastAsia="es-CO"/>
        </w:rPr>
      </w:pPr>
    </w:p>
    <w:p w14:paraId="5A7D2315" w14:textId="77777777" w:rsidR="00EE4A9A" w:rsidRPr="00E4098C" w:rsidRDefault="00EE4A9A" w:rsidP="00E4098C">
      <w:pPr>
        <w:jc w:val="both"/>
        <w:rPr>
          <w:rFonts w:ascii="Arial" w:hAnsi="Arial" w:cs="Arial"/>
          <w:b/>
          <w:bCs/>
          <w:sz w:val="22"/>
          <w:szCs w:val="22"/>
          <w:lang w:eastAsia="es-CO"/>
        </w:rPr>
      </w:pPr>
      <w:r w:rsidRPr="00E4098C">
        <w:rPr>
          <w:rFonts w:ascii="Arial" w:hAnsi="Arial" w:cs="Arial"/>
          <w:b/>
          <w:bCs/>
          <w:sz w:val="22"/>
          <w:szCs w:val="22"/>
          <w:lang w:eastAsia="es-CO"/>
        </w:rPr>
        <w:t>Objetivos específicos</w:t>
      </w:r>
    </w:p>
    <w:p w14:paraId="0DB7BDD0" w14:textId="77777777" w:rsidR="00EE4A9A" w:rsidRPr="00E4098C" w:rsidRDefault="00EE4A9A" w:rsidP="00E4098C">
      <w:pPr>
        <w:autoSpaceDE w:val="0"/>
        <w:autoSpaceDN w:val="0"/>
        <w:adjustRightInd w:val="0"/>
        <w:ind w:right="13"/>
        <w:jc w:val="both"/>
        <w:rPr>
          <w:rFonts w:ascii="Arial" w:hAnsi="Arial" w:cs="Arial"/>
          <w:sz w:val="22"/>
          <w:szCs w:val="22"/>
        </w:rPr>
      </w:pPr>
    </w:p>
    <w:p w14:paraId="41E5A8A0" w14:textId="2AD3AC28" w:rsidR="00767494" w:rsidRPr="00E4098C" w:rsidRDefault="00EE4A9A" w:rsidP="00E4098C">
      <w:pPr>
        <w:pStyle w:val="Prrafodelista"/>
        <w:numPr>
          <w:ilvl w:val="0"/>
          <w:numId w:val="2"/>
        </w:numPr>
        <w:autoSpaceDE w:val="0"/>
        <w:autoSpaceDN w:val="0"/>
        <w:adjustRightInd w:val="0"/>
        <w:ind w:right="13"/>
        <w:jc w:val="both"/>
        <w:rPr>
          <w:rFonts w:ascii="Arial" w:hAnsi="Arial" w:cs="Arial"/>
        </w:rPr>
      </w:pPr>
      <w:r w:rsidRPr="00E4098C">
        <w:rPr>
          <w:rFonts w:ascii="Arial" w:hAnsi="Arial" w:cs="Arial"/>
        </w:rPr>
        <w:t xml:space="preserve">Describir los esquemas mas utilizados como tratamiento en los Centros de Referencia de Latinoamérica </w:t>
      </w:r>
    </w:p>
    <w:p w14:paraId="6F45F260" w14:textId="0C555D36" w:rsidR="00EE4A9A" w:rsidRPr="00E4098C" w:rsidRDefault="00EE4A9A" w:rsidP="00E4098C">
      <w:pPr>
        <w:pStyle w:val="Prrafodelista"/>
        <w:numPr>
          <w:ilvl w:val="0"/>
          <w:numId w:val="2"/>
        </w:numPr>
        <w:autoSpaceDE w:val="0"/>
        <w:autoSpaceDN w:val="0"/>
        <w:adjustRightInd w:val="0"/>
        <w:ind w:right="13"/>
        <w:jc w:val="both"/>
        <w:rPr>
          <w:rFonts w:ascii="Arial" w:hAnsi="Arial" w:cs="Arial"/>
        </w:rPr>
      </w:pPr>
      <w:r w:rsidRPr="00E4098C">
        <w:rPr>
          <w:rFonts w:ascii="Arial" w:hAnsi="Arial" w:cs="Arial"/>
        </w:rPr>
        <w:t xml:space="preserve">Describir el acceso a nuevas Terapias </w:t>
      </w:r>
      <w:r w:rsidR="00BD1CF7" w:rsidRPr="00E4098C">
        <w:rPr>
          <w:rFonts w:ascii="Arial" w:hAnsi="Arial" w:cs="Arial"/>
        </w:rPr>
        <w:t>(</w:t>
      </w:r>
      <w:proofErr w:type="spellStart"/>
      <w:r w:rsidR="00767494" w:rsidRPr="00E4098C">
        <w:rPr>
          <w:rFonts w:ascii="Arial" w:hAnsi="Arial" w:cs="Arial"/>
        </w:rPr>
        <w:t>inh</w:t>
      </w:r>
      <w:proofErr w:type="spellEnd"/>
      <w:r w:rsidR="00767494" w:rsidRPr="00E4098C">
        <w:rPr>
          <w:rFonts w:ascii="Arial" w:hAnsi="Arial" w:cs="Arial"/>
        </w:rPr>
        <w:t xml:space="preserve"> BRAF</w:t>
      </w:r>
      <w:r w:rsidRPr="00E4098C">
        <w:rPr>
          <w:rFonts w:ascii="Arial" w:hAnsi="Arial" w:cs="Arial"/>
        </w:rPr>
        <w:t xml:space="preserve">) con los que se cuenta en la región </w:t>
      </w:r>
    </w:p>
    <w:p w14:paraId="34F79B5C" w14:textId="40626D86" w:rsidR="00767494" w:rsidRPr="00E4098C" w:rsidRDefault="00767494" w:rsidP="00E4098C">
      <w:pPr>
        <w:pStyle w:val="Default"/>
        <w:numPr>
          <w:ilvl w:val="0"/>
          <w:numId w:val="2"/>
        </w:numPr>
        <w:jc w:val="both"/>
        <w:rPr>
          <w:sz w:val="22"/>
          <w:szCs w:val="22"/>
        </w:rPr>
      </w:pPr>
      <w:r w:rsidRPr="00E4098C">
        <w:rPr>
          <w:sz w:val="22"/>
          <w:szCs w:val="22"/>
        </w:rPr>
        <w:t xml:space="preserve">Evaluar la respuesta del tratamiento inicial y recaída, en pacientes diagnosticados con </w:t>
      </w:r>
      <w:proofErr w:type="spellStart"/>
      <w:r w:rsidRPr="00E4098C">
        <w:rPr>
          <w:sz w:val="22"/>
          <w:szCs w:val="22"/>
        </w:rPr>
        <w:t>Tricoleucemia</w:t>
      </w:r>
      <w:proofErr w:type="spellEnd"/>
      <w:r w:rsidRPr="00E4098C">
        <w:rPr>
          <w:sz w:val="22"/>
          <w:szCs w:val="22"/>
        </w:rPr>
        <w:t>, en Latinoamérica.</w:t>
      </w:r>
    </w:p>
    <w:p w14:paraId="2F2B5EAC" w14:textId="2FF69700" w:rsidR="00EE4A9A" w:rsidRPr="00E4098C" w:rsidRDefault="00EE4A9A" w:rsidP="00E4098C">
      <w:pPr>
        <w:pStyle w:val="NormalWeb"/>
        <w:numPr>
          <w:ilvl w:val="0"/>
          <w:numId w:val="2"/>
        </w:numPr>
        <w:spacing w:after="0" w:afterAutospacing="0"/>
        <w:jc w:val="both"/>
        <w:rPr>
          <w:rFonts w:ascii="Arial" w:hAnsi="Arial" w:cs="Arial"/>
          <w:sz w:val="22"/>
          <w:szCs w:val="22"/>
        </w:rPr>
      </w:pPr>
      <w:r w:rsidRPr="00E4098C">
        <w:rPr>
          <w:rFonts w:ascii="Arial" w:hAnsi="Arial" w:cs="Arial"/>
          <w:sz w:val="22"/>
          <w:szCs w:val="22"/>
        </w:rPr>
        <w:t xml:space="preserve">Unir los datos de los centros latinoamericanos que conformamos el grupo GELL para tener </w:t>
      </w:r>
      <w:r w:rsidR="00BD1CF7" w:rsidRPr="00E4098C">
        <w:rPr>
          <w:rFonts w:ascii="Arial" w:hAnsi="Arial" w:cs="Arial"/>
          <w:sz w:val="22"/>
          <w:szCs w:val="22"/>
        </w:rPr>
        <w:t>un registro</w:t>
      </w:r>
      <w:r w:rsidRPr="00E4098C">
        <w:rPr>
          <w:rFonts w:ascii="Arial" w:hAnsi="Arial" w:cs="Arial"/>
          <w:sz w:val="22"/>
          <w:szCs w:val="22"/>
        </w:rPr>
        <w:t xml:space="preserve"> Latino Americano de </w:t>
      </w:r>
      <w:r w:rsidR="00767494" w:rsidRPr="00E4098C">
        <w:rPr>
          <w:rFonts w:ascii="Arial" w:hAnsi="Arial" w:cs="Arial"/>
          <w:sz w:val="22"/>
          <w:szCs w:val="22"/>
        </w:rPr>
        <w:t xml:space="preserve">Tricoleucemia </w:t>
      </w:r>
      <w:r w:rsidRPr="00E4098C">
        <w:rPr>
          <w:rFonts w:ascii="Arial" w:hAnsi="Arial" w:cs="Arial"/>
          <w:sz w:val="22"/>
          <w:szCs w:val="22"/>
        </w:rPr>
        <w:t xml:space="preserve">y buscar alternativas conjuntas en mejorar el acceso terapeutico. </w:t>
      </w:r>
    </w:p>
    <w:p w14:paraId="0C8F2AF8" w14:textId="77777777" w:rsidR="00767494" w:rsidRPr="00E4098C" w:rsidRDefault="00767494" w:rsidP="00E4098C">
      <w:pPr>
        <w:pStyle w:val="Paragraph"/>
        <w:numPr>
          <w:ilvl w:val="0"/>
          <w:numId w:val="2"/>
        </w:numPr>
        <w:spacing w:before="40" w:after="40"/>
        <w:rPr>
          <w:rFonts w:ascii="Arial" w:hAnsi="Arial" w:cs="Arial"/>
          <w:snapToGrid w:val="0"/>
          <w:color w:val="000000"/>
          <w:sz w:val="22"/>
          <w:szCs w:val="22"/>
          <w:lang w:val="es-CL"/>
        </w:rPr>
      </w:pPr>
      <w:r w:rsidRPr="00E4098C">
        <w:rPr>
          <w:rFonts w:ascii="Arial" w:hAnsi="Arial" w:cs="Arial"/>
          <w:snapToGrid w:val="0"/>
          <w:color w:val="000000"/>
          <w:sz w:val="22"/>
          <w:szCs w:val="22"/>
          <w:lang w:val="es-CL"/>
        </w:rPr>
        <w:t>Cuantificar el número de complicaciones y causa de mortalidad en pacientes con Tricoleucemia</w:t>
      </w:r>
    </w:p>
    <w:p w14:paraId="6B702004" w14:textId="77777777" w:rsidR="00767494" w:rsidRPr="00E4098C" w:rsidRDefault="00767494" w:rsidP="00E4098C">
      <w:pPr>
        <w:pStyle w:val="Default"/>
        <w:numPr>
          <w:ilvl w:val="0"/>
          <w:numId w:val="2"/>
        </w:numPr>
        <w:jc w:val="both"/>
        <w:rPr>
          <w:sz w:val="22"/>
          <w:szCs w:val="22"/>
        </w:rPr>
      </w:pPr>
      <w:r w:rsidRPr="00E4098C">
        <w:rPr>
          <w:snapToGrid w:val="0"/>
          <w:sz w:val="22"/>
          <w:szCs w:val="22"/>
          <w:lang w:val="es-CL"/>
        </w:rPr>
        <w:t>Calcular sobrevida  libre de progresión y sobrevida global a 5  años en pacientes con Tricoleucemia en Latinoamérica.</w:t>
      </w:r>
    </w:p>
    <w:p w14:paraId="158056C5" w14:textId="77777777" w:rsidR="00767494" w:rsidRPr="00E4098C" w:rsidRDefault="00767494" w:rsidP="00E4098C">
      <w:pPr>
        <w:pStyle w:val="NormalWeb"/>
        <w:spacing w:after="0" w:afterAutospacing="0"/>
        <w:ind w:left="720"/>
        <w:jc w:val="both"/>
        <w:rPr>
          <w:rFonts w:ascii="Arial" w:hAnsi="Arial" w:cs="Arial"/>
          <w:sz w:val="22"/>
          <w:szCs w:val="22"/>
        </w:rPr>
      </w:pPr>
    </w:p>
    <w:p w14:paraId="1F128039" w14:textId="77777777" w:rsidR="00EE4A9A" w:rsidRPr="00E4098C" w:rsidRDefault="00EE4A9A" w:rsidP="00E4098C">
      <w:pPr>
        <w:pStyle w:val="Prrafodelista"/>
        <w:keepNext/>
        <w:widowControl w:val="0"/>
        <w:tabs>
          <w:tab w:val="left" w:pos="284"/>
        </w:tabs>
        <w:ind w:left="360"/>
        <w:jc w:val="both"/>
        <w:rPr>
          <w:rFonts w:ascii="Arial" w:hAnsi="Arial" w:cs="Arial"/>
          <w:b/>
        </w:rPr>
      </w:pPr>
    </w:p>
    <w:p w14:paraId="2DDBBCE2" w14:textId="4AA46063" w:rsidR="00EE4A9A" w:rsidRPr="00E4098C" w:rsidRDefault="00EE4A9A" w:rsidP="00E4098C">
      <w:pPr>
        <w:pStyle w:val="Prrafodelista"/>
        <w:keepNext/>
        <w:widowControl w:val="0"/>
        <w:tabs>
          <w:tab w:val="left" w:pos="284"/>
        </w:tabs>
        <w:ind w:left="360"/>
        <w:jc w:val="both"/>
        <w:rPr>
          <w:rFonts w:ascii="Arial" w:hAnsi="Arial" w:cs="Arial"/>
          <w:b/>
        </w:rPr>
      </w:pPr>
      <w:r w:rsidRPr="00E4098C">
        <w:rPr>
          <w:rFonts w:ascii="Arial" w:hAnsi="Arial" w:cs="Arial"/>
          <w:b/>
        </w:rPr>
        <w:t>METODOLOGÍA</w:t>
      </w:r>
    </w:p>
    <w:p w14:paraId="69136CD1" w14:textId="77777777" w:rsidR="00EE4A9A" w:rsidRPr="00E4098C" w:rsidRDefault="00EE4A9A" w:rsidP="00E4098C">
      <w:pPr>
        <w:keepNext/>
        <w:widowControl w:val="0"/>
        <w:tabs>
          <w:tab w:val="left" w:pos="284"/>
        </w:tabs>
        <w:jc w:val="both"/>
        <w:rPr>
          <w:rFonts w:ascii="Arial" w:hAnsi="Arial" w:cs="Arial"/>
          <w:sz w:val="22"/>
          <w:szCs w:val="22"/>
        </w:rPr>
      </w:pPr>
    </w:p>
    <w:p w14:paraId="294279AD" w14:textId="77777777" w:rsidR="00EE4A9A" w:rsidRPr="00E4098C" w:rsidRDefault="00EE4A9A" w:rsidP="00E4098C">
      <w:pPr>
        <w:pStyle w:val="Prrafodelista"/>
        <w:ind w:left="360" w:right="13"/>
        <w:jc w:val="both"/>
        <w:rPr>
          <w:rFonts w:ascii="Arial" w:hAnsi="Arial" w:cs="Arial"/>
          <w:b/>
          <w:bCs/>
          <w:lang w:val="es-ES"/>
        </w:rPr>
      </w:pPr>
      <w:r w:rsidRPr="00E4098C">
        <w:rPr>
          <w:rFonts w:ascii="Arial" w:hAnsi="Arial" w:cs="Arial"/>
          <w:b/>
          <w:bCs/>
        </w:rPr>
        <w:t xml:space="preserve">Diseño del estudio: </w:t>
      </w:r>
    </w:p>
    <w:p w14:paraId="76429CF7" w14:textId="77777777" w:rsidR="00EE4A9A" w:rsidRPr="00E4098C" w:rsidRDefault="00EE4A9A" w:rsidP="00E4098C">
      <w:pPr>
        <w:pStyle w:val="Prrafodelista"/>
        <w:ind w:left="360" w:right="13"/>
        <w:jc w:val="both"/>
        <w:rPr>
          <w:rFonts w:ascii="Arial" w:hAnsi="Arial" w:cs="Arial"/>
          <w:lang w:val="es-ES"/>
        </w:rPr>
      </w:pPr>
    </w:p>
    <w:p w14:paraId="748C95A1" w14:textId="48F7F662" w:rsidR="00EE4A9A" w:rsidRPr="00E4098C" w:rsidRDefault="00EE4A9A" w:rsidP="00E4098C">
      <w:pPr>
        <w:pStyle w:val="Prrafodelista"/>
        <w:ind w:left="360" w:right="13"/>
        <w:jc w:val="both"/>
        <w:rPr>
          <w:rFonts w:ascii="Arial" w:hAnsi="Arial" w:cs="Arial"/>
        </w:rPr>
      </w:pPr>
      <w:r w:rsidRPr="00E4098C">
        <w:rPr>
          <w:rFonts w:ascii="Arial" w:hAnsi="Arial" w:cs="Arial"/>
          <w:lang w:val="es-ES"/>
        </w:rPr>
        <w:t xml:space="preserve">Estudio de Cohorte </w:t>
      </w:r>
      <w:r w:rsidR="00F67328" w:rsidRPr="00E4098C">
        <w:rPr>
          <w:rFonts w:ascii="Arial" w:hAnsi="Arial" w:cs="Arial"/>
          <w:lang w:val="es-ES"/>
        </w:rPr>
        <w:t>transversal analítico</w:t>
      </w:r>
    </w:p>
    <w:p w14:paraId="36BD4BF8" w14:textId="77777777" w:rsidR="00EE4A9A" w:rsidRPr="00E4098C" w:rsidRDefault="00EE4A9A" w:rsidP="00E4098C">
      <w:pPr>
        <w:ind w:right="13"/>
        <w:jc w:val="both"/>
        <w:rPr>
          <w:rFonts w:ascii="Arial" w:hAnsi="Arial" w:cs="Arial"/>
          <w:bCs/>
          <w:sz w:val="22"/>
          <w:szCs w:val="22"/>
        </w:rPr>
      </w:pPr>
    </w:p>
    <w:p w14:paraId="17183958" w14:textId="2C22153A" w:rsidR="00EE4A9A" w:rsidRPr="00E4098C" w:rsidRDefault="00EE4A9A" w:rsidP="00E4098C">
      <w:pPr>
        <w:pStyle w:val="Default"/>
        <w:jc w:val="both"/>
        <w:rPr>
          <w:b/>
          <w:bCs/>
          <w:sz w:val="22"/>
          <w:szCs w:val="22"/>
        </w:rPr>
      </w:pPr>
      <w:r w:rsidRPr="00E4098C">
        <w:rPr>
          <w:b/>
          <w:bCs/>
          <w:sz w:val="22"/>
          <w:szCs w:val="22"/>
        </w:rPr>
        <w:t>Población de estudio:</w:t>
      </w:r>
      <w:r w:rsidR="00767494" w:rsidRPr="00E4098C">
        <w:rPr>
          <w:b/>
          <w:bCs/>
          <w:sz w:val="22"/>
          <w:szCs w:val="22"/>
        </w:rPr>
        <w:t xml:space="preserve"> Pacientes adultos con diagnóstico de </w:t>
      </w:r>
      <w:proofErr w:type="spellStart"/>
      <w:r w:rsidR="00767494" w:rsidRPr="00E4098C">
        <w:rPr>
          <w:b/>
          <w:bCs/>
          <w:sz w:val="22"/>
          <w:szCs w:val="22"/>
        </w:rPr>
        <w:t>Tricoleucemia</w:t>
      </w:r>
      <w:proofErr w:type="spellEnd"/>
      <w:r w:rsidR="00767494" w:rsidRPr="00E4098C">
        <w:rPr>
          <w:b/>
          <w:bCs/>
          <w:sz w:val="22"/>
          <w:szCs w:val="22"/>
        </w:rPr>
        <w:t xml:space="preserve">, </w:t>
      </w:r>
      <w:r w:rsidR="00767494" w:rsidRPr="00E4098C">
        <w:rPr>
          <w:sz w:val="22"/>
          <w:szCs w:val="22"/>
        </w:rPr>
        <w:t>atendidos en Centros de Referencia Oncológicos en Latinoamérica durante el periodo comprendido entre 2010 a 2022.</w:t>
      </w:r>
    </w:p>
    <w:p w14:paraId="175CAD0D" w14:textId="77777777" w:rsidR="00EE4A9A" w:rsidRPr="00E4098C" w:rsidRDefault="00EE4A9A" w:rsidP="00E4098C">
      <w:pPr>
        <w:pStyle w:val="Default"/>
        <w:rPr>
          <w:b/>
          <w:bCs/>
          <w:sz w:val="22"/>
          <w:szCs w:val="22"/>
        </w:rPr>
      </w:pPr>
    </w:p>
    <w:p w14:paraId="59679B85" w14:textId="77777777" w:rsidR="00EE4A9A" w:rsidRPr="00E4098C" w:rsidRDefault="00EE4A9A" w:rsidP="00E4098C">
      <w:pPr>
        <w:pStyle w:val="Default"/>
        <w:rPr>
          <w:sz w:val="22"/>
          <w:szCs w:val="22"/>
        </w:rPr>
      </w:pPr>
      <w:r w:rsidRPr="00E4098C">
        <w:rPr>
          <w:b/>
          <w:bCs/>
          <w:sz w:val="22"/>
          <w:szCs w:val="22"/>
        </w:rPr>
        <w:t xml:space="preserve">Criterios de selección: </w:t>
      </w:r>
    </w:p>
    <w:p w14:paraId="76C62850" w14:textId="77777777" w:rsidR="00EE4A9A" w:rsidRPr="00E4098C" w:rsidRDefault="00EE4A9A" w:rsidP="00E4098C">
      <w:pPr>
        <w:pStyle w:val="Default"/>
        <w:rPr>
          <w:b/>
          <w:bCs/>
          <w:sz w:val="22"/>
          <w:szCs w:val="22"/>
        </w:rPr>
      </w:pPr>
    </w:p>
    <w:p w14:paraId="2B056D97" w14:textId="77777777" w:rsidR="00EE4A9A" w:rsidRPr="00E4098C" w:rsidRDefault="00EE4A9A" w:rsidP="00E4098C">
      <w:pPr>
        <w:pStyle w:val="Default"/>
        <w:rPr>
          <w:sz w:val="22"/>
          <w:szCs w:val="22"/>
        </w:rPr>
      </w:pPr>
      <w:r w:rsidRPr="00E4098C">
        <w:rPr>
          <w:b/>
          <w:bCs/>
          <w:sz w:val="22"/>
          <w:szCs w:val="22"/>
        </w:rPr>
        <w:t xml:space="preserve">Criterios de inclusión </w:t>
      </w:r>
    </w:p>
    <w:p w14:paraId="0A49FC52" w14:textId="77777777" w:rsidR="00EE4A9A" w:rsidRPr="00E4098C" w:rsidRDefault="00EE4A9A" w:rsidP="00E4098C">
      <w:pPr>
        <w:pStyle w:val="Default"/>
        <w:numPr>
          <w:ilvl w:val="0"/>
          <w:numId w:val="1"/>
        </w:numPr>
        <w:spacing w:after="31"/>
        <w:rPr>
          <w:sz w:val="22"/>
          <w:szCs w:val="22"/>
        </w:rPr>
      </w:pPr>
      <w:r w:rsidRPr="00E4098C">
        <w:rPr>
          <w:sz w:val="22"/>
          <w:szCs w:val="22"/>
        </w:rPr>
        <w:t xml:space="preserve">Pacientes mayores de 18 años de edad </w:t>
      </w:r>
    </w:p>
    <w:p w14:paraId="53618DAF" w14:textId="4E70F0A5" w:rsidR="00EE4A9A" w:rsidRPr="00E4098C" w:rsidRDefault="00EE4A9A" w:rsidP="00E4098C">
      <w:pPr>
        <w:pStyle w:val="Default"/>
        <w:numPr>
          <w:ilvl w:val="0"/>
          <w:numId w:val="1"/>
        </w:numPr>
        <w:spacing w:after="31"/>
        <w:rPr>
          <w:sz w:val="22"/>
          <w:szCs w:val="22"/>
        </w:rPr>
      </w:pPr>
      <w:r w:rsidRPr="00E4098C">
        <w:rPr>
          <w:sz w:val="22"/>
          <w:szCs w:val="22"/>
        </w:rPr>
        <w:t>Diagnóstico histopatológico</w:t>
      </w:r>
      <w:r w:rsidR="00767494" w:rsidRPr="00E4098C">
        <w:rPr>
          <w:sz w:val="22"/>
          <w:szCs w:val="22"/>
        </w:rPr>
        <w:t xml:space="preserve"> o por </w:t>
      </w:r>
      <w:proofErr w:type="spellStart"/>
      <w:r w:rsidR="00767494" w:rsidRPr="00E4098C">
        <w:rPr>
          <w:sz w:val="22"/>
          <w:szCs w:val="22"/>
        </w:rPr>
        <w:t>Citometria</w:t>
      </w:r>
      <w:proofErr w:type="spellEnd"/>
      <w:r w:rsidR="00767494" w:rsidRPr="00E4098C">
        <w:rPr>
          <w:sz w:val="22"/>
          <w:szCs w:val="22"/>
        </w:rPr>
        <w:t xml:space="preserve"> de Flujo de </w:t>
      </w:r>
      <w:proofErr w:type="spellStart"/>
      <w:r w:rsidR="00767494" w:rsidRPr="00E4098C">
        <w:rPr>
          <w:sz w:val="22"/>
          <w:szCs w:val="22"/>
        </w:rPr>
        <w:t>Tricoleucemia</w:t>
      </w:r>
      <w:proofErr w:type="spellEnd"/>
      <w:r w:rsidR="00767494" w:rsidRPr="00E4098C">
        <w:rPr>
          <w:sz w:val="22"/>
          <w:szCs w:val="22"/>
        </w:rPr>
        <w:t xml:space="preserve"> (Leucemia de </w:t>
      </w:r>
      <w:r w:rsidR="00DF26DD" w:rsidRPr="00E4098C">
        <w:rPr>
          <w:sz w:val="22"/>
          <w:szCs w:val="22"/>
        </w:rPr>
        <w:t>Células</w:t>
      </w:r>
      <w:r w:rsidR="00767494" w:rsidRPr="00E4098C">
        <w:rPr>
          <w:sz w:val="22"/>
          <w:szCs w:val="22"/>
        </w:rPr>
        <w:t xml:space="preserve"> Velludas)</w:t>
      </w:r>
      <w:r w:rsidRPr="00E4098C">
        <w:rPr>
          <w:sz w:val="22"/>
          <w:szCs w:val="22"/>
        </w:rPr>
        <w:t xml:space="preserve"> </w:t>
      </w:r>
    </w:p>
    <w:p w14:paraId="3FF485E4" w14:textId="77777777" w:rsidR="00EE4A9A" w:rsidRPr="00E4098C" w:rsidRDefault="00EE4A9A" w:rsidP="00E4098C">
      <w:pPr>
        <w:pStyle w:val="Default"/>
        <w:numPr>
          <w:ilvl w:val="0"/>
          <w:numId w:val="1"/>
        </w:numPr>
        <w:rPr>
          <w:sz w:val="22"/>
          <w:szCs w:val="22"/>
        </w:rPr>
      </w:pPr>
      <w:r w:rsidRPr="00E4098C">
        <w:rPr>
          <w:sz w:val="22"/>
          <w:szCs w:val="22"/>
        </w:rPr>
        <w:t xml:space="preserve">Información del seguimiento disponible en la historia clínica </w:t>
      </w:r>
    </w:p>
    <w:p w14:paraId="22C15E10" w14:textId="77777777" w:rsidR="00EE4A9A" w:rsidRPr="00E4098C" w:rsidRDefault="00EE4A9A" w:rsidP="00E4098C">
      <w:pPr>
        <w:pStyle w:val="Default"/>
        <w:rPr>
          <w:sz w:val="22"/>
          <w:szCs w:val="22"/>
        </w:rPr>
      </w:pPr>
    </w:p>
    <w:p w14:paraId="6F42444E" w14:textId="77777777" w:rsidR="00EE4A9A" w:rsidRPr="00E4098C" w:rsidRDefault="00EE4A9A" w:rsidP="00E4098C">
      <w:pPr>
        <w:pStyle w:val="Default"/>
        <w:rPr>
          <w:sz w:val="22"/>
          <w:szCs w:val="22"/>
        </w:rPr>
      </w:pPr>
      <w:r w:rsidRPr="00E4098C">
        <w:rPr>
          <w:b/>
          <w:bCs/>
          <w:sz w:val="22"/>
          <w:szCs w:val="22"/>
        </w:rPr>
        <w:t xml:space="preserve">Criterios de exclusión </w:t>
      </w:r>
    </w:p>
    <w:p w14:paraId="5C4362E3" w14:textId="77777777" w:rsidR="00EE4A9A" w:rsidRPr="00E4098C" w:rsidRDefault="00EE4A9A" w:rsidP="00E4098C">
      <w:pPr>
        <w:ind w:right="13"/>
        <w:jc w:val="both"/>
        <w:rPr>
          <w:sz w:val="22"/>
          <w:szCs w:val="22"/>
        </w:rPr>
      </w:pPr>
    </w:p>
    <w:p w14:paraId="329521DF" w14:textId="407E23FB" w:rsidR="00767494" w:rsidRPr="00E4098C" w:rsidRDefault="00767494" w:rsidP="00E4098C">
      <w:pPr>
        <w:pStyle w:val="Default"/>
        <w:numPr>
          <w:ilvl w:val="0"/>
          <w:numId w:val="5"/>
        </w:numPr>
        <w:jc w:val="both"/>
        <w:rPr>
          <w:sz w:val="22"/>
          <w:szCs w:val="22"/>
        </w:rPr>
      </w:pPr>
      <w:r w:rsidRPr="00E4098C">
        <w:rPr>
          <w:bCs/>
          <w:sz w:val="22"/>
          <w:szCs w:val="22"/>
          <w:lang w:val="es-CO"/>
        </w:rPr>
        <w:t>P</w:t>
      </w:r>
      <w:proofErr w:type="spellStart"/>
      <w:r w:rsidRPr="00E4098C">
        <w:rPr>
          <w:bCs/>
          <w:sz w:val="22"/>
          <w:szCs w:val="22"/>
        </w:rPr>
        <w:t>acientes</w:t>
      </w:r>
      <w:proofErr w:type="spellEnd"/>
      <w:r w:rsidRPr="00E4098C">
        <w:rPr>
          <w:bCs/>
          <w:sz w:val="22"/>
          <w:szCs w:val="22"/>
        </w:rPr>
        <w:t xml:space="preserve"> que no cumplen criterios de diagnósticos de OMS o aquellos pacientes que tengas datos clínicos incompletos.</w:t>
      </w:r>
    </w:p>
    <w:p w14:paraId="42E42580" w14:textId="77777777" w:rsidR="00EE4A9A" w:rsidRPr="00E4098C" w:rsidRDefault="00EE4A9A" w:rsidP="00E4098C">
      <w:pPr>
        <w:autoSpaceDE w:val="0"/>
        <w:autoSpaceDN w:val="0"/>
        <w:adjustRightInd w:val="0"/>
        <w:ind w:left="360" w:right="13"/>
        <w:jc w:val="both"/>
        <w:rPr>
          <w:rFonts w:ascii="Arial" w:hAnsi="Arial" w:cs="Arial"/>
          <w:sz w:val="22"/>
          <w:szCs w:val="22"/>
          <w:lang w:val="es-ES"/>
        </w:rPr>
      </w:pPr>
    </w:p>
    <w:p w14:paraId="457F87BA" w14:textId="77777777" w:rsidR="00EE4A9A" w:rsidRPr="00E4098C" w:rsidRDefault="00EE4A9A" w:rsidP="00E4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2"/>
          <w:szCs w:val="22"/>
          <w:u w:val="single"/>
          <w:shd w:val="clear" w:color="auto" w:fill="FFFFFF"/>
          <w:lang w:val="es-AR"/>
        </w:rPr>
      </w:pPr>
      <w:r w:rsidRPr="00E4098C">
        <w:rPr>
          <w:rFonts w:ascii="Arial" w:hAnsi="Arial" w:cs="Arial"/>
          <w:b/>
          <w:color w:val="000000"/>
          <w:sz w:val="22"/>
          <w:szCs w:val="22"/>
          <w:u w:val="single"/>
          <w:shd w:val="clear" w:color="auto" w:fill="FFFFFF"/>
          <w:lang w:val="es-AR"/>
        </w:rPr>
        <w:t>Procedimiento</w:t>
      </w:r>
    </w:p>
    <w:p w14:paraId="56BFA75D" w14:textId="77777777" w:rsidR="00767494" w:rsidRPr="00E4098C" w:rsidRDefault="00767494" w:rsidP="00E4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000000"/>
          <w:sz w:val="22"/>
          <w:szCs w:val="22"/>
          <w:u w:val="single"/>
          <w:shd w:val="clear" w:color="auto" w:fill="FFFFFF"/>
          <w:lang w:val="es-AR"/>
        </w:rPr>
      </w:pPr>
    </w:p>
    <w:p w14:paraId="4800152F" w14:textId="6332BAA3" w:rsidR="00BD5D56" w:rsidRPr="00E4098C" w:rsidRDefault="00767494" w:rsidP="00E4098C">
      <w:pPr>
        <w:pStyle w:val="EntryTextTi10"/>
        <w:numPr>
          <w:ilvl w:val="0"/>
          <w:numId w:val="5"/>
        </w:numPr>
        <w:jc w:val="both"/>
        <w:rPr>
          <w:rFonts w:ascii="Arial" w:hAnsi="Arial" w:cs="Arial"/>
          <w:color w:val="000000"/>
          <w:sz w:val="22"/>
          <w:szCs w:val="22"/>
          <w:lang w:val="es-CL"/>
        </w:rPr>
      </w:pPr>
      <w:r w:rsidRPr="00E4098C">
        <w:rPr>
          <w:rFonts w:ascii="Arial" w:hAnsi="Arial" w:cs="Arial"/>
          <w:color w:val="000000"/>
          <w:sz w:val="22"/>
          <w:szCs w:val="22"/>
          <w:lang w:val="es-CL"/>
        </w:rPr>
        <w:t>Los datos</w:t>
      </w:r>
      <w:r w:rsidR="00DF26DD">
        <w:rPr>
          <w:rFonts w:ascii="Arial" w:hAnsi="Arial" w:cs="Arial"/>
          <w:color w:val="000000"/>
          <w:sz w:val="22"/>
          <w:szCs w:val="22"/>
          <w:lang w:val="es-CL"/>
        </w:rPr>
        <w:t xml:space="preserve"> a recolectar serán</w:t>
      </w:r>
      <w:proofErr w:type="gramStart"/>
      <w:r w:rsidR="00E4098C" w:rsidRPr="00E4098C">
        <w:rPr>
          <w:rFonts w:ascii="Arial" w:hAnsi="Arial" w:cs="Arial"/>
          <w:color w:val="000000"/>
          <w:sz w:val="22"/>
          <w:szCs w:val="22"/>
          <w:lang w:val="es-CL"/>
        </w:rPr>
        <w:t xml:space="preserve">: </w:t>
      </w:r>
      <w:r w:rsidRPr="00E4098C">
        <w:rPr>
          <w:rFonts w:ascii="Arial" w:hAnsi="Arial" w:cs="Arial"/>
          <w:color w:val="000000"/>
          <w:sz w:val="22"/>
          <w:szCs w:val="22"/>
          <w:lang w:val="es-CL"/>
        </w:rPr>
        <w:t xml:space="preserve"> clínicos</w:t>
      </w:r>
      <w:proofErr w:type="gramEnd"/>
      <w:r w:rsidRPr="00E4098C">
        <w:rPr>
          <w:rFonts w:ascii="Arial" w:hAnsi="Arial" w:cs="Arial"/>
          <w:color w:val="000000"/>
          <w:sz w:val="22"/>
          <w:szCs w:val="22"/>
          <w:lang w:val="es-CL"/>
        </w:rPr>
        <w:t>, laboratorio, tratamiento primario recibido según, e</w:t>
      </w:r>
      <w:r w:rsidR="00DF26DD">
        <w:rPr>
          <w:rFonts w:ascii="Arial" w:hAnsi="Arial" w:cs="Arial"/>
          <w:color w:val="000000"/>
          <w:sz w:val="22"/>
          <w:szCs w:val="22"/>
          <w:lang w:val="es-CL"/>
        </w:rPr>
        <w:t>valuación de la respuesta</w:t>
      </w:r>
      <w:r w:rsidR="00E4098C" w:rsidRPr="00E4098C">
        <w:rPr>
          <w:rFonts w:ascii="Arial" w:hAnsi="Arial" w:cs="Arial"/>
          <w:color w:val="000000"/>
          <w:sz w:val="22"/>
          <w:szCs w:val="22"/>
          <w:lang w:val="es-CL"/>
        </w:rPr>
        <w:t xml:space="preserve"> fecha de evaluación de respuesta y método utilizado.</w:t>
      </w:r>
    </w:p>
    <w:p w14:paraId="44C946CC" w14:textId="4F2AF4FB" w:rsidR="00E4098C" w:rsidRPr="00E4098C" w:rsidRDefault="00E4098C" w:rsidP="00E4098C">
      <w:pPr>
        <w:pStyle w:val="EntryTextTi10"/>
        <w:numPr>
          <w:ilvl w:val="0"/>
          <w:numId w:val="5"/>
        </w:numPr>
        <w:jc w:val="both"/>
        <w:rPr>
          <w:rFonts w:ascii="Arial" w:hAnsi="Arial" w:cs="Arial"/>
          <w:color w:val="000000"/>
          <w:sz w:val="22"/>
          <w:szCs w:val="22"/>
          <w:lang w:val="es-CL"/>
        </w:rPr>
      </w:pPr>
      <w:r w:rsidRPr="00E4098C">
        <w:rPr>
          <w:rFonts w:ascii="Arial" w:hAnsi="Arial" w:cs="Arial"/>
          <w:color w:val="000000"/>
          <w:sz w:val="22"/>
          <w:szCs w:val="22"/>
          <w:lang w:val="es-CL"/>
        </w:rPr>
        <w:t>Para evaluación de la respuesta , adicionalmente se consideraran los c</w:t>
      </w:r>
      <w:r w:rsidR="00DF26DD">
        <w:rPr>
          <w:rFonts w:ascii="Arial" w:hAnsi="Arial" w:cs="Arial"/>
          <w:color w:val="000000"/>
          <w:sz w:val="22"/>
          <w:szCs w:val="22"/>
          <w:lang w:val="es-CL"/>
        </w:rPr>
        <w:t>r</w:t>
      </w:r>
      <w:r w:rsidRPr="00E4098C">
        <w:rPr>
          <w:rFonts w:ascii="Arial" w:hAnsi="Arial" w:cs="Arial"/>
          <w:color w:val="000000"/>
          <w:sz w:val="22"/>
          <w:szCs w:val="22"/>
          <w:lang w:val="es-CL"/>
        </w:rPr>
        <w:t xml:space="preserve">iterios clínicos mencionados a continuación: </w:t>
      </w:r>
    </w:p>
    <w:p w14:paraId="6EC809AD" w14:textId="77777777" w:rsidR="00E4098C" w:rsidRPr="00E4098C" w:rsidRDefault="00E4098C" w:rsidP="00E4098C">
      <w:pPr>
        <w:pStyle w:val="EntryTextTi10"/>
        <w:jc w:val="both"/>
        <w:rPr>
          <w:rFonts w:ascii="Arial" w:hAnsi="Arial" w:cs="Arial"/>
          <w:color w:val="000000"/>
          <w:sz w:val="22"/>
          <w:szCs w:val="22"/>
          <w:lang w:val="es-CL"/>
        </w:rPr>
      </w:pPr>
    </w:p>
    <w:p w14:paraId="0B28191A" w14:textId="4944CCE9" w:rsidR="00E4098C" w:rsidRPr="00E4098C" w:rsidRDefault="00E4098C" w:rsidP="00E4098C">
      <w:pPr>
        <w:pStyle w:val="EntryTextTi10"/>
        <w:jc w:val="both"/>
        <w:rPr>
          <w:rFonts w:ascii="Arial" w:hAnsi="Arial" w:cs="Arial"/>
          <w:color w:val="000000"/>
          <w:sz w:val="22"/>
          <w:szCs w:val="22"/>
          <w:lang w:val="es-CL"/>
        </w:rPr>
      </w:pPr>
      <w:r w:rsidRPr="00E4098C">
        <w:rPr>
          <w:noProof/>
          <w:sz w:val="22"/>
          <w:szCs w:val="22"/>
          <w:lang w:val="es-CL" w:eastAsia="es-CL"/>
        </w:rPr>
        <w:lastRenderedPageBreak/>
        <w:drawing>
          <wp:inline distT="0" distB="0" distL="0" distR="0" wp14:anchorId="41FB7D23" wp14:editId="0164B63F">
            <wp:extent cx="6333490" cy="2968560"/>
            <wp:effectExtent l="0" t="0" r="0" b="3810"/>
            <wp:docPr id="4" name="Imagen 4"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3490" cy="2968560"/>
                    </a:xfrm>
                    <a:prstGeom prst="rect">
                      <a:avLst/>
                    </a:prstGeom>
                    <a:noFill/>
                    <a:ln>
                      <a:noFill/>
                    </a:ln>
                  </pic:spPr>
                </pic:pic>
              </a:graphicData>
            </a:graphic>
          </wp:inline>
        </w:drawing>
      </w:r>
    </w:p>
    <w:p w14:paraId="751B10CD" w14:textId="77777777" w:rsidR="00E4098C" w:rsidRPr="00E4098C" w:rsidRDefault="00E4098C" w:rsidP="00E4098C">
      <w:pPr>
        <w:pStyle w:val="EntryTextTi10"/>
        <w:numPr>
          <w:ilvl w:val="0"/>
          <w:numId w:val="5"/>
        </w:numPr>
        <w:jc w:val="both"/>
        <w:rPr>
          <w:rFonts w:ascii="Arial" w:hAnsi="Arial" w:cs="Arial"/>
          <w:color w:val="000000"/>
          <w:sz w:val="22"/>
          <w:szCs w:val="22"/>
          <w:lang w:val="es-CL"/>
        </w:rPr>
      </w:pPr>
      <w:r w:rsidRPr="00E4098C">
        <w:rPr>
          <w:rFonts w:ascii="Arial" w:hAnsi="Arial" w:cs="Arial"/>
          <w:color w:val="000000"/>
          <w:sz w:val="22"/>
          <w:szCs w:val="22"/>
          <w:lang w:val="es-CL"/>
        </w:rPr>
        <w:t>Adicionalmente se evaluara el esquema de t</w:t>
      </w:r>
      <w:r w:rsidR="00767494" w:rsidRPr="00E4098C">
        <w:rPr>
          <w:rFonts w:ascii="Arial" w:hAnsi="Arial" w:cs="Arial"/>
          <w:color w:val="000000"/>
          <w:sz w:val="22"/>
          <w:szCs w:val="22"/>
          <w:lang w:val="es-CL"/>
        </w:rPr>
        <w:t xml:space="preserve">ratamiento indicado en caso de recaída, </w:t>
      </w:r>
    </w:p>
    <w:p w14:paraId="72FFA085" w14:textId="0D41E05C" w:rsidR="00767494" w:rsidRPr="00E4098C" w:rsidRDefault="00767494" w:rsidP="00E4098C">
      <w:pPr>
        <w:pStyle w:val="EntryTextTi10"/>
        <w:numPr>
          <w:ilvl w:val="0"/>
          <w:numId w:val="5"/>
        </w:numPr>
        <w:jc w:val="both"/>
        <w:rPr>
          <w:rFonts w:ascii="Arial" w:hAnsi="Arial" w:cs="Arial"/>
          <w:color w:val="000000"/>
          <w:sz w:val="22"/>
          <w:szCs w:val="22"/>
          <w:lang w:val="es-CL"/>
        </w:rPr>
      </w:pPr>
      <w:r w:rsidRPr="00E4098C">
        <w:rPr>
          <w:rFonts w:ascii="Arial" w:hAnsi="Arial" w:cs="Arial"/>
          <w:color w:val="000000"/>
          <w:sz w:val="22"/>
          <w:szCs w:val="22"/>
          <w:lang w:val="es-CL"/>
        </w:rPr>
        <w:t xml:space="preserve">RAM evidenciadas durante el tratamiento (infecciones, </w:t>
      </w:r>
      <w:r w:rsidR="00DF26DD" w:rsidRPr="00E4098C">
        <w:rPr>
          <w:rFonts w:ascii="Arial" w:hAnsi="Arial" w:cs="Arial"/>
          <w:color w:val="000000"/>
          <w:sz w:val="22"/>
          <w:szCs w:val="22"/>
          <w:lang w:val="es-CL"/>
        </w:rPr>
        <w:t>mielo supresión</w:t>
      </w:r>
      <w:r w:rsidRPr="00E4098C">
        <w:rPr>
          <w:rFonts w:ascii="Arial" w:hAnsi="Arial" w:cs="Arial"/>
          <w:color w:val="000000"/>
          <w:sz w:val="22"/>
          <w:szCs w:val="22"/>
          <w:lang w:val="es-CL"/>
        </w:rPr>
        <w:t xml:space="preserve">, tumores malignos secundarios, síntomas gastrointestinales, síntomas neurológicos) </w:t>
      </w:r>
    </w:p>
    <w:p w14:paraId="5262BDDF" w14:textId="26578A39" w:rsidR="00E4098C" w:rsidRPr="00E4098C" w:rsidRDefault="00DF26DD" w:rsidP="00E4098C">
      <w:pPr>
        <w:pStyle w:val="EntryTextTi10"/>
        <w:numPr>
          <w:ilvl w:val="0"/>
          <w:numId w:val="5"/>
        </w:numPr>
        <w:jc w:val="both"/>
        <w:rPr>
          <w:rFonts w:ascii="Arial" w:hAnsi="Arial" w:cs="Arial"/>
          <w:color w:val="000000"/>
          <w:sz w:val="22"/>
          <w:szCs w:val="22"/>
          <w:lang w:val="es-CL"/>
        </w:rPr>
      </w:pPr>
      <w:r w:rsidRPr="00E4098C">
        <w:rPr>
          <w:rFonts w:ascii="Arial" w:hAnsi="Arial" w:cs="Arial"/>
          <w:color w:val="000000"/>
          <w:sz w:val="22"/>
          <w:szCs w:val="22"/>
          <w:lang w:val="es-CL"/>
        </w:rPr>
        <w:t>Utilización</w:t>
      </w:r>
      <w:r w:rsidR="00E4098C" w:rsidRPr="00E4098C">
        <w:rPr>
          <w:rFonts w:ascii="Arial" w:hAnsi="Arial" w:cs="Arial"/>
          <w:color w:val="000000"/>
          <w:sz w:val="22"/>
          <w:szCs w:val="22"/>
          <w:lang w:val="es-CL"/>
        </w:rPr>
        <w:t xml:space="preserve"> de recursos hospitalarios, como días </w:t>
      </w:r>
      <w:proofErr w:type="gramStart"/>
      <w:r w:rsidR="00E4098C" w:rsidRPr="00E4098C">
        <w:rPr>
          <w:rFonts w:ascii="Arial" w:hAnsi="Arial" w:cs="Arial"/>
          <w:color w:val="000000"/>
          <w:sz w:val="22"/>
          <w:szCs w:val="22"/>
          <w:lang w:val="es-CL"/>
        </w:rPr>
        <w:t>cama ,</w:t>
      </w:r>
      <w:proofErr w:type="gramEnd"/>
      <w:r w:rsidR="00E4098C" w:rsidRPr="00E4098C">
        <w:rPr>
          <w:rFonts w:ascii="Arial" w:hAnsi="Arial" w:cs="Arial"/>
          <w:color w:val="000000"/>
          <w:sz w:val="22"/>
          <w:szCs w:val="22"/>
          <w:lang w:val="es-CL"/>
        </w:rPr>
        <w:t xml:space="preserve"> soporte transfusional y </w:t>
      </w:r>
      <w:r w:rsidRPr="00E4098C">
        <w:rPr>
          <w:rFonts w:ascii="Arial" w:hAnsi="Arial" w:cs="Arial"/>
          <w:color w:val="000000"/>
          <w:sz w:val="22"/>
          <w:szCs w:val="22"/>
          <w:lang w:val="es-CL"/>
        </w:rPr>
        <w:t>uso</w:t>
      </w:r>
      <w:r w:rsidR="00E4098C" w:rsidRPr="00E4098C">
        <w:rPr>
          <w:rFonts w:ascii="Arial" w:hAnsi="Arial" w:cs="Arial"/>
          <w:color w:val="000000"/>
          <w:sz w:val="22"/>
          <w:szCs w:val="22"/>
          <w:lang w:val="es-CL"/>
        </w:rPr>
        <w:t xml:space="preserve"> de factores estimulantes de colonias.</w:t>
      </w:r>
    </w:p>
    <w:p w14:paraId="38C6D69B" w14:textId="26E464E0" w:rsidR="00BD5D56" w:rsidRPr="00E4098C" w:rsidRDefault="00767494" w:rsidP="00E4098C">
      <w:pPr>
        <w:pStyle w:val="EntryTextTi10"/>
        <w:numPr>
          <w:ilvl w:val="0"/>
          <w:numId w:val="5"/>
        </w:numPr>
        <w:jc w:val="both"/>
        <w:rPr>
          <w:rFonts w:ascii="Arial" w:hAnsi="Arial" w:cs="Arial"/>
          <w:color w:val="000000"/>
          <w:sz w:val="22"/>
          <w:szCs w:val="22"/>
          <w:lang w:val="es-CL"/>
        </w:rPr>
      </w:pPr>
      <w:r w:rsidRPr="00E4098C">
        <w:rPr>
          <w:rFonts w:ascii="Arial" w:hAnsi="Arial" w:cs="Arial"/>
          <w:color w:val="000000"/>
          <w:sz w:val="22"/>
          <w:szCs w:val="22"/>
          <w:lang w:val="es-CL"/>
        </w:rPr>
        <w:t>Se calculará la sobrevida global a 5 años en consulta al registro civil</w:t>
      </w:r>
      <w:r w:rsidR="00E4098C" w:rsidRPr="00E4098C">
        <w:rPr>
          <w:rFonts w:ascii="Arial" w:hAnsi="Arial" w:cs="Arial"/>
          <w:color w:val="000000"/>
          <w:sz w:val="22"/>
          <w:szCs w:val="22"/>
          <w:lang w:val="es-CL"/>
        </w:rPr>
        <w:t xml:space="preserve"> de cada país </w:t>
      </w:r>
      <w:r w:rsidRPr="00E4098C">
        <w:rPr>
          <w:rFonts w:ascii="Arial" w:hAnsi="Arial" w:cs="Arial"/>
          <w:color w:val="000000"/>
          <w:sz w:val="22"/>
          <w:szCs w:val="22"/>
          <w:lang w:val="es-CL"/>
        </w:rPr>
        <w:t xml:space="preserve">  y sobrevida libre de progresión, desde la fecha del </w:t>
      </w:r>
      <w:r w:rsidR="00DF26DD" w:rsidRPr="00E4098C">
        <w:rPr>
          <w:rFonts w:ascii="Arial" w:hAnsi="Arial" w:cs="Arial"/>
          <w:color w:val="000000"/>
          <w:sz w:val="22"/>
          <w:szCs w:val="22"/>
          <w:lang w:val="es-CL"/>
        </w:rPr>
        <w:t>diagnóstico</w:t>
      </w:r>
      <w:r w:rsidRPr="00E4098C">
        <w:rPr>
          <w:rFonts w:ascii="Arial" w:hAnsi="Arial" w:cs="Arial"/>
          <w:color w:val="000000"/>
          <w:sz w:val="22"/>
          <w:szCs w:val="22"/>
          <w:lang w:val="es-CL"/>
        </w:rPr>
        <w:t xml:space="preserve"> hasta la fecha de su último control o recaída según corresponda, y se expres</w:t>
      </w:r>
      <w:r w:rsidR="00E4098C" w:rsidRPr="00E4098C">
        <w:rPr>
          <w:rFonts w:ascii="Arial" w:hAnsi="Arial" w:cs="Arial"/>
          <w:color w:val="000000"/>
          <w:sz w:val="22"/>
          <w:szCs w:val="22"/>
          <w:lang w:val="es-CL"/>
        </w:rPr>
        <w:t>a</w:t>
      </w:r>
      <w:r w:rsidRPr="00E4098C">
        <w:rPr>
          <w:rFonts w:ascii="Arial" w:hAnsi="Arial" w:cs="Arial"/>
          <w:color w:val="000000"/>
          <w:sz w:val="22"/>
          <w:szCs w:val="22"/>
          <w:lang w:val="es-CL"/>
        </w:rPr>
        <w:t>rá con curva de  Kaplan-</w:t>
      </w:r>
      <w:proofErr w:type="spellStart"/>
      <w:r w:rsidRPr="00E4098C">
        <w:rPr>
          <w:rFonts w:ascii="Arial" w:hAnsi="Arial" w:cs="Arial"/>
          <w:color w:val="000000"/>
          <w:sz w:val="22"/>
          <w:szCs w:val="22"/>
          <w:lang w:val="es-CL"/>
        </w:rPr>
        <w:t>Meier</w:t>
      </w:r>
      <w:proofErr w:type="spellEnd"/>
      <w:r w:rsidRPr="00E4098C">
        <w:rPr>
          <w:rFonts w:ascii="Arial" w:hAnsi="Arial" w:cs="Arial"/>
          <w:color w:val="000000"/>
          <w:sz w:val="22"/>
          <w:szCs w:val="22"/>
          <w:lang w:val="es-CL"/>
        </w:rPr>
        <w:t>.</w:t>
      </w:r>
    </w:p>
    <w:p w14:paraId="4886B772" w14:textId="77777777" w:rsidR="00EE4A9A" w:rsidRPr="00E4098C" w:rsidRDefault="00EE4A9A" w:rsidP="00E4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u w:val="single"/>
          <w:shd w:val="clear" w:color="auto" w:fill="FFFFFF"/>
          <w:lang w:val="es-AR"/>
        </w:rPr>
      </w:pPr>
    </w:p>
    <w:p w14:paraId="5867B93B" w14:textId="2053E5AA" w:rsidR="00EE4A9A" w:rsidRPr="00E4098C" w:rsidRDefault="00EE4A9A" w:rsidP="00E4098C">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hd w:val="clear" w:color="auto" w:fill="FFFFFF"/>
          <w:lang w:val="es-AR"/>
        </w:rPr>
      </w:pPr>
      <w:r w:rsidRPr="00E4098C">
        <w:rPr>
          <w:rFonts w:ascii="Arial" w:hAnsi="Arial" w:cs="Arial"/>
          <w:color w:val="000000"/>
          <w:shd w:val="clear" w:color="auto" w:fill="FFFFFF"/>
          <w:lang w:val="es-AR"/>
        </w:rPr>
        <w:t>La data epidemiológica será recolectada por cada investigador participante y responsable de cada país de forma individual, en una hoja de</w:t>
      </w:r>
      <w:r w:rsidR="00BD1CF7" w:rsidRPr="00E4098C">
        <w:rPr>
          <w:rFonts w:ascii="Arial" w:hAnsi="Arial" w:cs="Arial"/>
          <w:color w:val="000000"/>
          <w:shd w:val="clear" w:color="auto" w:fill="FFFFFF"/>
          <w:lang w:val="es-AR"/>
        </w:rPr>
        <w:t xml:space="preserve"> Excel</w:t>
      </w:r>
      <w:r w:rsidRPr="00E4098C">
        <w:rPr>
          <w:rFonts w:ascii="Arial" w:hAnsi="Arial" w:cs="Arial"/>
          <w:color w:val="000000"/>
          <w:shd w:val="clear" w:color="auto" w:fill="FFFFFF"/>
          <w:lang w:val="es-AR"/>
        </w:rPr>
        <w:t xml:space="preserve"> </w:t>
      </w:r>
      <w:r w:rsidR="00767494" w:rsidRPr="00E4098C">
        <w:rPr>
          <w:rFonts w:ascii="Arial" w:hAnsi="Arial" w:cs="Arial"/>
          <w:color w:val="000000"/>
          <w:shd w:val="clear" w:color="auto" w:fill="FFFFFF"/>
          <w:lang w:val="es-AR"/>
        </w:rPr>
        <w:t xml:space="preserve">que se anexa. La </w:t>
      </w:r>
      <w:r w:rsidR="00DF26DD" w:rsidRPr="00E4098C">
        <w:rPr>
          <w:rFonts w:ascii="Arial" w:hAnsi="Arial" w:cs="Arial"/>
          <w:color w:val="000000"/>
          <w:shd w:val="clear" w:color="auto" w:fill="FFFFFF"/>
          <w:lang w:val="es-AR"/>
        </w:rPr>
        <w:t>monitorización</w:t>
      </w:r>
      <w:r w:rsidR="00BD1CF7" w:rsidRPr="00E4098C">
        <w:rPr>
          <w:rFonts w:ascii="Arial" w:hAnsi="Arial" w:cs="Arial"/>
          <w:color w:val="000000"/>
          <w:shd w:val="clear" w:color="auto" w:fill="FFFFFF"/>
          <w:lang w:val="es-AR"/>
        </w:rPr>
        <w:t xml:space="preserve"> de los datos es responsabilidad de cada institución. </w:t>
      </w:r>
    </w:p>
    <w:p w14:paraId="73A0B1F4" w14:textId="77777777" w:rsidR="00BD1CF7" w:rsidRPr="00E4098C" w:rsidRDefault="00BD1CF7" w:rsidP="00E4098C">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hd w:val="clear" w:color="auto" w:fill="FFFFFF"/>
          <w:lang w:val="es-AR"/>
        </w:rPr>
      </w:pPr>
    </w:p>
    <w:p w14:paraId="1E39E693" w14:textId="70FCC4F1" w:rsidR="00EE4A9A" w:rsidRPr="00E4098C" w:rsidRDefault="00EE4A9A" w:rsidP="00E4098C">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hd w:val="clear" w:color="auto" w:fill="FFFFFF"/>
          <w:lang w:val="es-AR"/>
        </w:rPr>
      </w:pPr>
      <w:r w:rsidRPr="00E4098C">
        <w:rPr>
          <w:rFonts w:ascii="Arial" w:hAnsi="Arial" w:cs="Arial"/>
          <w:color w:val="000000"/>
          <w:shd w:val="clear" w:color="auto" w:fill="FFFFFF"/>
          <w:lang w:val="es-AR"/>
        </w:rPr>
        <w:t>La data posteriormente se unificará para ejecutar la evaluación</w:t>
      </w:r>
      <w:r w:rsidR="00BD1CF7" w:rsidRPr="00E4098C">
        <w:rPr>
          <w:rFonts w:ascii="Arial" w:hAnsi="Arial" w:cs="Arial"/>
          <w:color w:val="000000"/>
          <w:shd w:val="clear" w:color="auto" w:fill="FFFFFF"/>
          <w:lang w:val="es-AR"/>
        </w:rPr>
        <w:t xml:space="preserve"> epidemiológica y</w:t>
      </w:r>
      <w:r w:rsidRPr="00E4098C">
        <w:rPr>
          <w:rFonts w:ascii="Arial" w:hAnsi="Arial" w:cs="Arial"/>
          <w:color w:val="000000"/>
          <w:shd w:val="clear" w:color="auto" w:fill="FFFFFF"/>
          <w:lang w:val="es-AR"/>
        </w:rPr>
        <w:t xml:space="preserve"> estadística </w:t>
      </w:r>
      <w:r w:rsidR="00BD1CF7" w:rsidRPr="00E4098C">
        <w:rPr>
          <w:rFonts w:ascii="Arial" w:hAnsi="Arial" w:cs="Arial"/>
          <w:color w:val="000000"/>
          <w:shd w:val="clear" w:color="auto" w:fill="FFFFFF"/>
          <w:lang w:val="es-AR"/>
        </w:rPr>
        <w:t>por el grupo de investigadores.</w:t>
      </w:r>
    </w:p>
    <w:p w14:paraId="4A18ABC7" w14:textId="77777777" w:rsidR="00EE4A9A" w:rsidRPr="00E4098C" w:rsidRDefault="00EE4A9A" w:rsidP="00E4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shd w:val="clear" w:color="auto" w:fill="FFFFFF"/>
          <w:lang w:val="es-AR"/>
        </w:rPr>
      </w:pPr>
    </w:p>
    <w:p w14:paraId="493E976F" w14:textId="42F2509C" w:rsidR="00EE4A9A" w:rsidRPr="00E4098C" w:rsidRDefault="00EE4A9A" w:rsidP="00E4098C">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hd w:val="clear" w:color="auto" w:fill="FFFFFF"/>
          <w:lang w:val="es-AR"/>
        </w:rPr>
      </w:pPr>
      <w:r w:rsidRPr="00E4098C">
        <w:rPr>
          <w:rFonts w:ascii="Arial" w:hAnsi="Arial" w:cs="Arial"/>
          <w:color w:val="000000"/>
          <w:shd w:val="clear" w:color="auto" w:fill="FFFFFF"/>
          <w:lang w:val="es-AR"/>
        </w:rPr>
        <w:t xml:space="preserve">Análisis de los datos y conclusiones serán ejecutados con la intención de </w:t>
      </w:r>
      <w:r w:rsidR="00BD1CF7" w:rsidRPr="00E4098C">
        <w:rPr>
          <w:rFonts w:ascii="Arial" w:hAnsi="Arial" w:cs="Arial"/>
          <w:color w:val="000000"/>
          <w:shd w:val="clear" w:color="auto" w:fill="FFFFFF"/>
          <w:lang w:val="es-AR"/>
        </w:rPr>
        <w:t>publicación</w:t>
      </w:r>
      <w:r w:rsidRPr="00E4098C">
        <w:rPr>
          <w:rFonts w:ascii="Arial" w:hAnsi="Arial" w:cs="Arial"/>
          <w:color w:val="000000"/>
          <w:shd w:val="clear" w:color="auto" w:fill="FFFFFF"/>
          <w:lang w:val="es-AR"/>
        </w:rPr>
        <w:t xml:space="preserve"> </w:t>
      </w:r>
      <w:r w:rsidR="00767494" w:rsidRPr="00E4098C">
        <w:rPr>
          <w:rFonts w:ascii="Arial" w:hAnsi="Arial" w:cs="Arial"/>
          <w:color w:val="000000"/>
          <w:shd w:val="clear" w:color="auto" w:fill="FFFFFF"/>
          <w:lang w:val="es-AR"/>
        </w:rPr>
        <w:t>en una revista indexada</w:t>
      </w:r>
      <w:r w:rsidR="00BD1CF7" w:rsidRPr="00E4098C">
        <w:rPr>
          <w:rFonts w:ascii="Arial" w:hAnsi="Arial" w:cs="Arial"/>
          <w:color w:val="000000"/>
          <w:shd w:val="clear" w:color="auto" w:fill="FFFFFF"/>
          <w:lang w:val="es-AR"/>
        </w:rPr>
        <w:t>.</w:t>
      </w:r>
    </w:p>
    <w:p w14:paraId="41A59D6E" w14:textId="77777777" w:rsidR="00BD1CF7" w:rsidRPr="00E4098C" w:rsidRDefault="00BD1CF7" w:rsidP="00E4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shd w:val="clear" w:color="auto" w:fill="FFFFFF"/>
          <w:lang w:val="es-AR"/>
        </w:rPr>
      </w:pPr>
    </w:p>
    <w:p w14:paraId="014465B4" w14:textId="2EB78CA9" w:rsidR="00EE4A9A" w:rsidRPr="00E4098C" w:rsidRDefault="00EE4A9A" w:rsidP="00E4098C">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hd w:val="clear" w:color="auto" w:fill="FFFFFF"/>
          <w:lang w:val="es-AR"/>
        </w:rPr>
      </w:pPr>
      <w:r w:rsidRPr="00E4098C">
        <w:rPr>
          <w:rFonts w:ascii="Arial" w:hAnsi="Arial" w:cs="Arial"/>
          <w:color w:val="000000"/>
          <w:shd w:val="clear" w:color="auto" w:fill="FFFFFF"/>
          <w:lang w:val="es-AR"/>
        </w:rPr>
        <w:t xml:space="preserve">Todos los participantes formaran parte de la publicación final. El rol de los autores se organizará </w:t>
      </w:r>
      <w:r w:rsidR="00BD1CF7" w:rsidRPr="00E4098C">
        <w:rPr>
          <w:rFonts w:ascii="Arial" w:hAnsi="Arial" w:cs="Arial"/>
          <w:color w:val="000000"/>
          <w:shd w:val="clear" w:color="auto" w:fill="FFFFFF"/>
          <w:lang w:val="es-AR"/>
        </w:rPr>
        <w:t>de acuerdo con el</w:t>
      </w:r>
      <w:r w:rsidRPr="00E4098C">
        <w:rPr>
          <w:rFonts w:ascii="Arial" w:hAnsi="Arial" w:cs="Arial"/>
          <w:color w:val="000000"/>
          <w:shd w:val="clear" w:color="auto" w:fill="FFFFFF"/>
          <w:lang w:val="es-AR"/>
        </w:rPr>
        <w:t xml:space="preserve"> margen de contribución en términos de casos de forma individual</w:t>
      </w:r>
      <w:r w:rsidR="00BD1CF7" w:rsidRPr="00E4098C">
        <w:rPr>
          <w:rFonts w:ascii="Arial" w:hAnsi="Arial" w:cs="Arial"/>
          <w:color w:val="000000"/>
          <w:shd w:val="clear" w:color="auto" w:fill="FFFFFF"/>
          <w:lang w:val="es-AR"/>
        </w:rPr>
        <w:t xml:space="preserve"> después del IP y de los coinvestigadores operativos</w:t>
      </w:r>
      <w:r w:rsidRPr="00E4098C">
        <w:rPr>
          <w:rFonts w:ascii="Arial" w:hAnsi="Arial" w:cs="Arial"/>
          <w:color w:val="000000"/>
          <w:shd w:val="clear" w:color="auto" w:fill="FFFFFF"/>
          <w:lang w:val="es-AR"/>
        </w:rPr>
        <w:t xml:space="preserve">. </w:t>
      </w:r>
    </w:p>
    <w:p w14:paraId="37FE5ED7" w14:textId="77777777" w:rsidR="00EE4A9A" w:rsidRPr="00E4098C" w:rsidRDefault="00EE4A9A" w:rsidP="00E409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shd w:val="clear" w:color="auto" w:fill="FFFFFF"/>
          <w:lang w:val="es-AR"/>
        </w:rPr>
      </w:pPr>
    </w:p>
    <w:p w14:paraId="34893DA4" w14:textId="145A2D84" w:rsidR="00EE4A9A" w:rsidRPr="00E4098C" w:rsidRDefault="00EE4A9A" w:rsidP="00E4098C">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hd w:val="clear" w:color="auto" w:fill="FFFFFF"/>
          <w:lang w:val="es-AR"/>
        </w:rPr>
      </w:pPr>
      <w:r w:rsidRPr="00E4098C">
        <w:rPr>
          <w:rFonts w:ascii="Arial" w:hAnsi="Arial" w:cs="Arial"/>
          <w:color w:val="000000"/>
          <w:shd w:val="clear" w:color="auto" w:fill="FFFFFF"/>
          <w:lang w:val="es-AR"/>
        </w:rPr>
        <w:t>La información recolectada será únicamente utilizada para fines académicos y quedará bajo confidencialidad del grupo, pudiendo acceder a ella únicamente aquellos involucrados en este proyecto o a quienes ellos autoricen</w:t>
      </w:r>
      <w:r w:rsidR="00BD1CF7" w:rsidRPr="00E4098C">
        <w:rPr>
          <w:rFonts w:ascii="Arial" w:hAnsi="Arial" w:cs="Arial"/>
          <w:color w:val="000000"/>
          <w:shd w:val="clear" w:color="auto" w:fill="FFFFFF"/>
          <w:lang w:val="es-AR"/>
        </w:rPr>
        <w:t xml:space="preserve"> pudiendo usarse para futuros proyectos con IP diferentes si así fuera el caso</w:t>
      </w:r>
      <w:r w:rsidRPr="00E4098C">
        <w:rPr>
          <w:rFonts w:ascii="Arial" w:hAnsi="Arial" w:cs="Arial"/>
          <w:color w:val="000000"/>
          <w:shd w:val="clear" w:color="auto" w:fill="FFFFFF"/>
          <w:lang w:val="es-AR"/>
        </w:rPr>
        <w:t>.</w:t>
      </w:r>
    </w:p>
    <w:p w14:paraId="100E9239" w14:textId="77777777" w:rsidR="00EE4A9A" w:rsidRPr="00E4098C" w:rsidRDefault="00EE4A9A" w:rsidP="00E4098C">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hd w:val="clear" w:color="auto" w:fill="FFFFFF"/>
          <w:lang w:val="es-AR"/>
        </w:rPr>
      </w:pPr>
    </w:p>
    <w:p w14:paraId="1A0C5FCA" w14:textId="55407BC0" w:rsidR="00EE4A9A" w:rsidRPr="00E4098C" w:rsidRDefault="00EE4A9A" w:rsidP="00E4098C">
      <w:pPr>
        <w:pStyle w:val="Prrafodelista"/>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hd w:val="clear" w:color="auto" w:fill="FFFFFF"/>
          <w:lang w:val="es-AR"/>
        </w:rPr>
      </w:pPr>
      <w:r w:rsidRPr="00E4098C">
        <w:rPr>
          <w:rFonts w:ascii="Arial" w:hAnsi="Arial" w:cs="Arial"/>
          <w:color w:val="0D0D0D" w:themeColor="text1" w:themeTint="F2"/>
          <w:shd w:val="clear" w:color="auto" w:fill="FFFFFF"/>
          <w:lang w:val="es-AR"/>
        </w:rPr>
        <w:t xml:space="preserve">Este protocolo no debe ser usado, divulgado, publicado ni de cualquier forma difundido sin la autorización. </w:t>
      </w:r>
      <w:r w:rsidR="00BD1CF7" w:rsidRPr="00E4098C">
        <w:rPr>
          <w:rFonts w:ascii="Arial" w:hAnsi="Arial" w:cs="Arial"/>
          <w:color w:val="0D0D0D" w:themeColor="text1" w:themeTint="F2"/>
          <w:shd w:val="clear" w:color="auto" w:fill="FFFFFF"/>
          <w:lang w:val="es-AR"/>
        </w:rPr>
        <w:t xml:space="preserve">Confidencialidad. </w:t>
      </w:r>
    </w:p>
    <w:p w14:paraId="05A8A5CC" w14:textId="77777777" w:rsidR="00767494" w:rsidRPr="00767494" w:rsidRDefault="00767494" w:rsidP="00767494">
      <w:pPr>
        <w:pStyle w:val="Prrafodelista"/>
        <w:rPr>
          <w:rFonts w:ascii="Arial" w:hAnsi="Arial" w:cs="Arial"/>
          <w:color w:val="000000"/>
          <w:sz w:val="20"/>
          <w:szCs w:val="20"/>
          <w:shd w:val="clear" w:color="auto" w:fill="FFFFFF"/>
          <w:lang w:val="es-AR"/>
        </w:rPr>
      </w:pPr>
    </w:p>
    <w:p w14:paraId="542AB683" w14:textId="77777777" w:rsidR="00767494" w:rsidRPr="00BD5D56" w:rsidRDefault="00767494" w:rsidP="00BD5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0"/>
          <w:szCs w:val="20"/>
          <w:shd w:val="clear" w:color="auto" w:fill="FFFFFF"/>
          <w:lang w:val="es-AR"/>
        </w:rPr>
      </w:pPr>
    </w:p>
    <w:p w14:paraId="67C37C02" w14:textId="77777777" w:rsidR="00EE4A9A" w:rsidRPr="00BD1CF7" w:rsidRDefault="00EE4A9A" w:rsidP="00EE4A9A">
      <w:pPr>
        <w:pStyle w:val="Prrafodelista"/>
        <w:autoSpaceDE w:val="0"/>
        <w:autoSpaceDN w:val="0"/>
        <w:adjustRightInd w:val="0"/>
        <w:ind w:right="13"/>
        <w:jc w:val="both"/>
        <w:rPr>
          <w:rFonts w:ascii="Arial" w:hAnsi="Arial" w:cs="Arial"/>
          <w:sz w:val="20"/>
          <w:szCs w:val="20"/>
          <w:lang w:val="es-AR"/>
        </w:rPr>
      </w:pPr>
    </w:p>
    <w:p w14:paraId="51793856" w14:textId="77777777" w:rsidR="00EE4A9A" w:rsidRPr="00490588" w:rsidRDefault="00EE4A9A" w:rsidP="00EE4A9A">
      <w:pPr>
        <w:autoSpaceDE w:val="0"/>
        <w:autoSpaceDN w:val="0"/>
        <w:adjustRightInd w:val="0"/>
        <w:ind w:right="13"/>
        <w:jc w:val="both"/>
        <w:rPr>
          <w:rFonts w:ascii="Arial" w:hAnsi="Arial" w:cs="Arial"/>
          <w:sz w:val="20"/>
          <w:szCs w:val="20"/>
        </w:rPr>
      </w:pPr>
    </w:p>
    <w:sdt>
      <w:sdtPr>
        <w:rPr>
          <w:rStyle w:val="Estilo1"/>
          <w:rFonts w:cs="Arial"/>
          <w:b/>
          <w:color w:val="000000" w:themeColor="text1"/>
          <w:szCs w:val="20"/>
        </w:rPr>
        <w:alias w:val="ControlVersiones"/>
        <w:tag w:val="ControlVersiones"/>
        <w:id w:val="-91855611"/>
        <w:placeholder>
          <w:docPart w:val="150F3FD8A07C2441BAE55AA86B126774"/>
        </w:placeholder>
        <w:showingPlcHdr/>
      </w:sdtPr>
      <w:sdtEndPr>
        <w:rPr>
          <w:rStyle w:val="Estilo1"/>
        </w:rPr>
      </w:sdtEndPr>
      <w:sdtContent>
        <w:p w14:paraId="32730C64" w14:textId="77777777" w:rsidR="00EE4A9A" w:rsidRPr="00BD5D56" w:rsidRDefault="00EE4A9A" w:rsidP="00EE4A9A">
          <w:pPr>
            <w:jc w:val="both"/>
            <w:rPr>
              <w:rStyle w:val="Estilo1"/>
              <w:rFonts w:cs="Arial"/>
              <w:b/>
              <w:color w:val="000000" w:themeColor="text1"/>
              <w:szCs w:val="20"/>
              <w:lang w:val="en-US"/>
            </w:rPr>
          </w:pPr>
          <w:r w:rsidRPr="00BD5D56">
            <w:rPr>
              <w:rStyle w:val="Estilo1"/>
              <w:b/>
              <w:color w:val="000000" w:themeColor="text1"/>
              <w:sz w:val="22"/>
              <w:szCs w:val="22"/>
              <w:lang w:val="en-US"/>
            </w:rPr>
            <w:t xml:space="preserve"> </w:t>
          </w:r>
        </w:p>
      </w:sdtContent>
    </w:sdt>
    <w:p w14:paraId="02AF274E" w14:textId="79F1FE7E" w:rsidR="00EE4A9A" w:rsidRPr="00BD5D56" w:rsidRDefault="00BD1CF7" w:rsidP="00EE4A9A">
      <w:pPr>
        <w:tabs>
          <w:tab w:val="left" w:pos="1680"/>
        </w:tabs>
        <w:rPr>
          <w:rFonts w:ascii="Arial" w:hAnsi="Arial" w:cs="Arial"/>
          <w:b/>
          <w:bCs/>
          <w:sz w:val="20"/>
          <w:szCs w:val="20"/>
          <w:lang w:val="en-US"/>
        </w:rPr>
      </w:pPr>
      <w:proofErr w:type="spellStart"/>
      <w:r w:rsidRPr="00BD5D56">
        <w:rPr>
          <w:rFonts w:ascii="Arial" w:hAnsi="Arial" w:cs="Arial"/>
          <w:b/>
          <w:bCs/>
          <w:sz w:val="20"/>
          <w:szCs w:val="20"/>
          <w:lang w:val="en-US"/>
        </w:rPr>
        <w:t>Bibliografía</w:t>
      </w:r>
      <w:proofErr w:type="spellEnd"/>
    </w:p>
    <w:p w14:paraId="426FCB39" w14:textId="77777777" w:rsidR="00BD5D56" w:rsidRDefault="00BD5D56" w:rsidP="00BD5D56">
      <w:pPr>
        <w:rPr>
          <w:rFonts w:ascii="Calibri" w:eastAsia="Calibri" w:hAnsi="Calibri"/>
          <w:sz w:val="22"/>
          <w:szCs w:val="22"/>
          <w:lang w:val="en-US" w:eastAsia="es-ES_tradnl"/>
        </w:rPr>
      </w:pPr>
    </w:p>
    <w:p w14:paraId="01DC88E5" w14:textId="77777777" w:rsidR="00BD5D56" w:rsidRDefault="00BD5D56" w:rsidP="00BD5D56">
      <w:pPr>
        <w:pStyle w:val="Prrafodelista"/>
        <w:numPr>
          <w:ilvl w:val="0"/>
          <w:numId w:val="5"/>
        </w:numPr>
        <w:rPr>
          <w:lang w:val="en-US" w:eastAsia="es-ES_tradnl"/>
        </w:rPr>
      </w:pPr>
      <w:r w:rsidRPr="00BD5D56">
        <w:rPr>
          <w:lang w:val="en-US" w:eastAsia="es-ES_tradnl"/>
        </w:rPr>
        <w:t>Else, at el. Long Remissions in Hairy cell leukemia with purine analogs. A report of 219 patients with a median follow up of 12</w:t>
      </w:r>
      <w:proofErr w:type="gramStart"/>
      <w:r w:rsidRPr="00BD5D56">
        <w:rPr>
          <w:lang w:val="en-US" w:eastAsia="es-ES_tradnl"/>
        </w:rPr>
        <w:t>,5</w:t>
      </w:r>
      <w:proofErr w:type="gramEnd"/>
      <w:r w:rsidRPr="00BD5D56">
        <w:rPr>
          <w:lang w:val="en-US" w:eastAsia="es-ES_tradnl"/>
        </w:rPr>
        <w:t xml:space="preserve"> years. American Cancer Society, December 1, 2005/volume 104/number 11. </w:t>
      </w:r>
    </w:p>
    <w:p w14:paraId="4C8872D1" w14:textId="71C1AD86" w:rsidR="00BD5D56" w:rsidRDefault="00BD5D56" w:rsidP="00BD5D56">
      <w:pPr>
        <w:pStyle w:val="Prrafodelista"/>
        <w:numPr>
          <w:ilvl w:val="0"/>
          <w:numId w:val="5"/>
        </w:numPr>
        <w:rPr>
          <w:lang w:val="en-US" w:eastAsia="es-ES_tradnl"/>
        </w:rPr>
      </w:pPr>
      <w:proofErr w:type="spellStart"/>
      <w:r w:rsidRPr="00BD5D56">
        <w:rPr>
          <w:lang w:val="en-US" w:eastAsia="es-ES_tradnl"/>
        </w:rPr>
        <w:t>Flinn</w:t>
      </w:r>
      <w:proofErr w:type="spellEnd"/>
      <w:r w:rsidRPr="00BD5D56">
        <w:rPr>
          <w:lang w:val="en-US" w:eastAsia="es-ES_tradnl"/>
        </w:rPr>
        <w:t xml:space="preserve"> IW </w:t>
      </w:r>
      <w:proofErr w:type="spellStart"/>
      <w:r w:rsidRPr="00BD5D56">
        <w:rPr>
          <w:lang w:val="en-US" w:eastAsia="es-ES_tradnl"/>
        </w:rPr>
        <w:t>Kopecky</w:t>
      </w:r>
      <w:proofErr w:type="spellEnd"/>
      <w:r w:rsidRPr="00BD5D56">
        <w:rPr>
          <w:lang w:val="en-US" w:eastAsia="es-ES_tradnl"/>
        </w:rPr>
        <w:t xml:space="preserve"> KJ, </w:t>
      </w:r>
      <w:proofErr w:type="spellStart"/>
      <w:r w:rsidRPr="00BD5D56">
        <w:rPr>
          <w:lang w:val="en-US" w:eastAsia="es-ES_tradnl"/>
        </w:rPr>
        <w:t>Foucar</w:t>
      </w:r>
      <w:proofErr w:type="spellEnd"/>
      <w:r w:rsidRPr="00BD5D56">
        <w:rPr>
          <w:lang w:val="en-US" w:eastAsia="es-ES_tradnl"/>
        </w:rPr>
        <w:t xml:space="preserve"> MK, et al. Long- term follow-up of remission duration, mortality, and second malignancies in </w:t>
      </w:r>
      <w:proofErr w:type="spellStart"/>
      <w:r w:rsidRPr="00BD5D56">
        <w:rPr>
          <w:lang w:val="en-US" w:eastAsia="es-ES_tradnl"/>
        </w:rPr>
        <w:t>hiary</w:t>
      </w:r>
      <w:proofErr w:type="spellEnd"/>
      <w:r w:rsidRPr="00BD5D56">
        <w:rPr>
          <w:lang w:val="en-US" w:eastAsia="es-ES_tradnl"/>
        </w:rPr>
        <w:t xml:space="preserve"> cell leukemia patients treated with </w:t>
      </w:r>
      <w:proofErr w:type="spellStart"/>
      <w:r w:rsidRPr="00BD5D56">
        <w:rPr>
          <w:lang w:val="en-US" w:eastAsia="es-ES_tradnl"/>
        </w:rPr>
        <w:t>pentostatin</w:t>
      </w:r>
      <w:proofErr w:type="spellEnd"/>
      <w:r w:rsidRPr="00BD5D56">
        <w:rPr>
          <w:lang w:val="en-US" w:eastAsia="es-ES_tradnl"/>
        </w:rPr>
        <w:t>, Blood 200</w:t>
      </w:r>
      <w:r>
        <w:rPr>
          <w:lang w:val="en-US" w:eastAsia="es-ES_tradnl"/>
        </w:rPr>
        <w:t>3</w:t>
      </w:r>
      <w:r w:rsidRPr="00BD5D56">
        <w:rPr>
          <w:lang w:val="en-US" w:eastAsia="es-ES_tradnl"/>
        </w:rPr>
        <w:t>; 96, 2981-2986</w:t>
      </w:r>
    </w:p>
    <w:p w14:paraId="465EC832" w14:textId="6A8B0167" w:rsidR="00BD5D56" w:rsidRDefault="00BD5D56" w:rsidP="00BD5D56">
      <w:pPr>
        <w:pStyle w:val="Prrafodelista"/>
        <w:numPr>
          <w:ilvl w:val="0"/>
          <w:numId w:val="5"/>
        </w:numPr>
        <w:rPr>
          <w:lang w:val="en-US" w:eastAsia="es-ES_tradnl"/>
        </w:rPr>
      </w:pPr>
      <w:proofErr w:type="spellStart"/>
      <w:r w:rsidRPr="00BD5D56">
        <w:rPr>
          <w:lang w:val="en-US" w:eastAsia="es-ES_tradnl"/>
        </w:rPr>
        <w:t>Jehn</w:t>
      </w:r>
      <w:proofErr w:type="spellEnd"/>
      <w:r w:rsidRPr="00BD5D56">
        <w:rPr>
          <w:lang w:val="en-US" w:eastAsia="es-ES_tradnl"/>
        </w:rPr>
        <w:t xml:space="preserve"> U, </w:t>
      </w:r>
      <w:proofErr w:type="spellStart"/>
      <w:r w:rsidRPr="00BD5D56">
        <w:rPr>
          <w:lang w:val="en-US" w:eastAsia="es-ES_tradnl"/>
        </w:rPr>
        <w:t>Bartl</w:t>
      </w:r>
      <w:proofErr w:type="spellEnd"/>
      <w:r w:rsidRPr="00BD5D56">
        <w:rPr>
          <w:lang w:val="en-US" w:eastAsia="es-ES_tradnl"/>
        </w:rPr>
        <w:t xml:space="preserve"> R, et al. 12 year follow-up patients with hairy cell leukemia following treatment with 2-chlorodeoxyadenosine. Leukemia 200</w:t>
      </w:r>
      <w:r>
        <w:rPr>
          <w:lang w:val="en-US" w:eastAsia="es-ES_tradnl"/>
        </w:rPr>
        <w:t>3</w:t>
      </w:r>
      <w:r w:rsidRPr="00BD5D56">
        <w:rPr>
          <w:lang w:val="en-US" w:eastAsia="es-ES_tradnl"/>
        </w:rPr>
        <w:t>; 1:1476 -1481</w:t>
      </w:r>
    </w:p>
    <w:p w14:paraId="7FB3A391" w14:textId="77777777" w:rsidR="00BD5D56" w:rsidRDefault="00BD5D56" w:rsidP="00BD5D56">
      <w:pPr>
        <w:pStyle w:val="Prrafodelista"/>
        <w:numPr>
          <w:ilvl w:val="0"/>
          <w:numId w:val="5"/>
        </w:numPr>
        <w:rPr>
          <w:lang w:val="en-US" w:eastAsia="es-ES_tradnl"/>
        </w:rPr>
      </w:pPr>
      <w:r w:rsidRPr="00BD5D56">
        <w:rPr>
          <w:lang w:val="en-US" w:eastAsia="es-ES_tradnl"/>
        </w:rPr>
        <w:t xml:space="preserve">Goodman GR, </w:t>
      </w:r>
      <w:proofErr w:type="spellStart"/>
      <w:r w:rsidRPr="00BD5D56">
        <w:rPr>
          <w:lang w:val="en-US" w:eastAsia="es-ES_tradnl"/>
        </w:rPr>
        <w:t>Burian</w:t>
      </w:r>
      <w:proofErr w:type="spellEnd"/>
      <w:r w:rsidRPr="00BD5D56">
        <w:rPr>
          <w:lang w:val="en-US" w:eastAsia="es-ES_tradnl"/>
        </w:rPr>
        <w:t xml:space="preserve"> C, et al. Extended follow-up of patients with hairy cell leukemia after treatment with </w:t>
      </w:r>
      <w:proofErr w:type="spellStart"/>
      <w:r w:rsidRPr="00BD5D56">
        <w:rPr>
          <w:lang w:val="en-US" w:eastAsia="es-ES_tradnl"/>
        </w:rPr>
        <w:t>cladribine</w:t>
      </w:r>
      <w:proofErr w:type="spellEnd"/>
      <w:r w:rsidRPr="00BD5D56">
        <w:rPr>
          <w:lang w:val="en-US" w:eastAsia="es-ES_tradnl"/>
        </w:rPr>
        <w:t>, Journal of clinical oncology 2003</w:t>
      </w:r>
      <w:proofErr w:type="gramStart"/>
      <w:r w:rsidRPr="00BD5D56">
        <w:rPr>
          <w:lang w:val="en-US" w:eastAsia="es-ES_tradnl"/>
        </w:rPr>
        <w:t>;21</w:t>
      </w:r>
      <w:proofErr w:type="gramEnd"/>
      <w:r w:rsidRPr="00BD5D56">
        <w:rPr>
          <w:lang w:val="en-US" w:eastAsia="es-ES_tradnl"/>
        </w:rPr>
        <w:t xml:space="preserve">: 891-896. </w:t>
      </w:r>
    </w:p>
    <w:p w14:paraId="219C90AE" w14:textId="77777777" w:rsidR="00BD5D56" w:rsidRDefault="00BD5D56" w:rsidP="00BD5D56">
      <w:pPr>
        <w:pStyle w:val="Prrafodelista"/>
        <w:numPr>
          <w:ilvl w:val="0"/>
          <w:numId w:val="5"/>
        </w:numPr>
        <w:rPr>
          <w:lang w:val="en-US" w:eastAsia="es-ES_tradnl"/>
        </w:rPr>
      </w:pPr>
      <w:r w:rsidRPr="00BD5D56">
        <w:rPr>
          <w:lang w:val="es-CL" w:eastAsia="es-ES_tradnl"/>
        </w:rPr>
        <w:t xml:space="preserve">Gail Jones, </w:t>
      </w:r>
      <w:proofErr w:type="spellStart"/>
      <w:r w:rsidRPr="00BD5D56">
        <w:rPr>
          <w:lang w:val="es-CL" w:eastAsia="es-ES_tradnl"/>
        </w:rPr>
        <w:t>Nilima</w:t>
      </w:r>
      <w:proofErr w:type="spellEnd"/>
      <w:r w:rsidRPr="00BD5D56">
        <w:rPr>
          <w:lang w:val="es-CL" w:eastAsia="es-ES_tradnl"/>
        </w:rPr>
        <w:t xml:space="preserve"> </w:t>
      </w:r>
      <w:proofErr w:type="spellStart"/>
      <w:r w:rsidRPr="00BD5D56">
        <w:rPr>
          <w:lang w:val="es-CL" w:eastAsia="es-ES_tradnl"/>
        </w:rPr>
        <w:t>Parry</w:t>
      </w:r>
      <w:proofErr w:type="spellEnd"/>
      <w:r w:rsidRPr="00BD5D56">
        <w:rPr>
          <w:lang w:val="es-CL" w:eastAsia="es-ES_tradnl"/>
        </w:rPr>
        <w:t xml:space="preserve">- Jones et al. </w:t>
      </w:r>
      <w:r w:rsidRPr="00BD5D56">
        <w:rPr>
          <w:lang w:val="en-US" w:eastAsia="es-ES_tradnl"/>
        </w:rPr>
        <w:t xml:space="preserve">Revised guidelines for the diagnosis and management of hairy cell leukemia and </w:t>
      </w:r>
      <w:proofErr w:type="gramStart"/>
      <w:r w:rsidRPr="00BD5D56">
        <w:rPr>
          <w:lang w:val="en-US" w:eastAsia="es-ES_tradnl"/>
        </w:rPr>
        <w:t>hairy  cell</w:t>
      </w:r>
      <w:proofErr w:type="gramEnd"/>
      <w:r w:rsidRPr="00BD5D56">
        <w:rPr>
          <w:lang w:val="en-US" w:eastAsia="es-ES_tradnl"/>
        </w:rPr>
        <w:t xml:space="preserve"> leukemia variant.  British Journal of </w:t>
      </w:r>
      <w:proofErr w:type="spellStart"/>
      <w:proofErr w:type="gramStart"/>
      <w:r w:rsidRPr="00BD5D56">
        <w:rPr>
          <w:lang w:val="en-US" w:eastAsia="es-ES_tradnl"/>
        </w:rPr>
        <w:t>Haematology</w:t>
      </w:r>
      <w:proofErr w:type="spellEnd"/>
      <w:r w:rsidRPr="00BD5D56">
        <w:rPr>
          <w:lang w:val="en-US" w:eastAsia="es-ES_tradnl"/>
        </w:rPr>
        <w:t xml:space="preserve">  2011</w:t>
      </w:r>
      <w:proofErr w:type="gramEnd"/>
      <w:r w:rsidRPr="00BD5D56">
        <w:rPr>
          <w:lang w:val="en-US" w:eastAsia="es-ES_tradnl"/>
        </w:rPr>
        <w:t xml:space="preserve">; 156: 186-195. </w:t>
      </w:r>
    </w:p>
    <w:p w14:paraId="62574A81" w14:textId="77777777" w:rsidR="00BD5D56" w:rsidRDefault="00BD5D56" w:rsidP="00BD5D56">
      <w:pPr>
        <w:pStyle w:val="Prrafodelista"/>
        <w:numPr>
          <w:ilvl w:val="0"/>
          <w:numId w:val="5"/>
        </w:numPr>
        <w:rPr>
          <w:lang w:val="en-US" w:eastAsia="es-ES_tradnl"/>
        </w:rPr>
      </w:pPr>
      <w:proofErr w:type="spellStart"/>
      <w:r w:rsidRPr="00BD5D56">
        <w:rPr>
          <w:lang w:val="en-US" w:eastAsia="es-ES_tradnl"/>
        </w:rPr>
        <w:t>HarveyM</w:t>
      </w:r>
      <w:proofErr w:type="spellEnd"/>
      <w:r w:rsidRPr="00BD5D56">
        <w:rPr>
          <w:lang w:val="en-US" w:eastAsia="es-ES_tradnl"/>
        </w:rPr>
        <w:t xml:space="preserve">, </w:t>
      </w:r>
      <w:proofErr w:type="spellStart"/>
      <w:r w:rsidRPr="00BD5D56">
        <w:rPr>
          <w:lang w:val="en-US" w:eastAsia="es-ES_tradnl"/>
        </w:rPr>
        <w:t>Golomb</w:t>
      </w:r>
      <w:proofErr w:type="spellEnd"/>
      <w:r w:rsidRPr="00BD5D56">
        <w:rPr>
          <w:lang w:val="en-US" w:eastAsia="es-ES_tradnl"/>
        </w:rPr>
        <w:t xml:space="preserve">. Hairy cell Leukemia: treatment successes in the past 25 years. American Society of Clinical oncology 2008, </w:t>
      </w:r>
      <w:proofErr w:type="spellStart"/>
      <w:r w:rsidRPr="00BD5D56">
        <w:rPr>
          <w:lang w:val="en-US" w:eastAsia="es-ES_tradnl"/>
        </w:rPr>
        <w:t>vol</w:t>
      </w:r>
      <w:proofErr w:type="spellEnd"/>
      <w:r w:rsidRPr="00BD5D56">
        <w:rPr>
          <w:lang w:val="en-US" w:eastAsia="es-ES_tradnl"/>
        </w:rPr>
        <w:t xml:space="preserve"> 26, N° 16. 2607-2610.</w:t>
      </w:r>
    </w:p>
    <w:p w14:paraId="29A790BB" w14:textId="77777777" w:rsidR="00BD5D56" w:rsidRDefault="00BD5D56" w:rsidP="00BD5D56">
      <w:pPr>
        <w:pStyle w:val="Prrafodelista"/>
        <w:numPr>
          <w:ilvl w:val="0"/>
          <w:numId w:val="5"/>
        </w:numPr>
        <w:rPr>
          <w:lang w:val="en-US" w:eastAsia="es-ES_tradnl"/>
        </w:rPr>
      </w:pPr>
      <w:r w:rsidRPr="00BD5D56">
        <w:rPr>
          <w:lang w:val="es-CL" w:eastAsia="es-ES_tradnl"/>
        </w:rPr>
        <w:t xml:space="preserve">Michael R </w:t>
      </w:r>
      <w:proofErr w:type="spellStart"/>
      <w:r w:rsidRPr="00BD5D56">
        <w:rPr>
          <w:lang w:val="es-CL" w:eastAsia="es-ES_tradnl"/>
        </w:rPr>
        <w:t>Garver</w:t>
      </w:r>
      <w:proofErr w:type="spellEnd"/>
      <w:r w:rsidRPr="00BD5D56">
        <w:rPr>
          <w:lang w:val="es-CL" w:eastAsia="es-ES_tradnl"/>
        </w:rPr>
        <w:t xml:space="preserve">, Omar </w:t>
      </w:r>
      <w:proofErr w:type="spellStart"/>
      <w:r w:rsidRPr="00BD5D56">
        <w:rPr>
          <w:lang w:val="es-CL" w:eastAsia="es-ES_tradnl"/>
        </w:rPr>
        <w:t>Abdel-Wahab</w:t>
      </w:r>
      <w:proofErr w:type="spellEnd"/>
      <w:r w:rsidRPr="00BD5D56">
        <w:rPr>
          <w:lang w:val="es-CL" w:eastAsia="es-ES_tradnl"/>
        </w:rPr>
        <w:t xml:space="preserve">, et al. </w:t>
      </w:r>
      <w:r w:rsidRPr="00BD5D56">
        <w:rPr>
          <w:lang w:val="en-US" w:eastAsia="es-ES_tradnl"/>
        </w:rPr>
        <w:t>Consensus guidelines for the diagnosis and management of patient with classic hairy cell leukemia. Blood 2017, Volume 129 n°5: 553-560</w:t>
      </w:r>
    </w:p>
    <w:p w14:paraId="3ABC48C4" w14:textId="77777777" w:rsidR="00BD5D56" w:rsidRPr="00E4098C" w:rsidRDefault="00BD5D56" w:rsidP="00BD5D56">
      <w:pPr>
        <w:pStyle w:val="Prrafodelista"/>
        <w:numPr>
          <w:ilvl w:val="0"/>
          <w:numId w:val="5"/>
        </w:numPr>
        <w:rPr>
          <w:lang w:val="es-CL" w:eastAsia="es-ES_tradnl"/>
        </w:rPr>
      </w:pPr>
      <w:proofErr w:type="spellStart"/>
      <w:r w:rsidRPr="00E4098C">
        <w:rPr>
          <w:lang w:val="es-CL" w:eastAsia="es-ES_tradnl"/>
        </w:rPr>
        <w:t>Solessi</w:t>
      </w:r>
      <w:proofErr w:type="spellEnd"/>
      <w:r w:rsidRPr="00E4098C">
        <w:rPr>
          <w:lang w:val="es-CL" w:eastAsia="es-ES_tradnl"/>
        </w:rPr>
        <w:t xml:space="preserve"> M soledad, Ledesma I, et al. </w:t>
      </w:r>
      <w:r w:rsidRPr="00BD5D56">
        <w:rPr>
          <w:lang w:val="es-CL" w:eastAsia="es-ES_tradnl"/>
        </w:rPr>
        <w:t xml:space="preserve">Leucemia de células vellosas: estrategias terapéutica. </w:t>
      </w:r>
      <w:r w:rsidRPr="00E4098C">
        <w:rPr>
          <w:lang w:val="es-CL" w:eastAsia="es-ES_tradnl"/>
        </w:rPr>
        <w:t xml:space="preserve">Revista Argentina de  </w:t>
      </w:r>
      <w:proofErr w:type="spellStart"/>
      <w:r w:rsidRPr="00E4098C">
        <w:rPr>
          <w:lang w:val="es-CL" w:eastAsia="es-ES_tradnl"/>
        </w:rPr>
        <w:t>Hematologia</w:t>
      </w:r>
      <w:proofErr w:type="spellEnd"/>
      <w:r w:rsidRPr="00E4098C">
        <w:rPr>
          <w:lang w:val="es-CL" w:eastAsia="es-ES_tradnl"/>
        </w:rPr>
        <w:t xml:space="preserve"> </w:t>
      </w:r>
      <w:proofErr w:type="spellStart"/>
      <w:r w:rsidRPr="00E4098C">
        <w:rPr>
          <w:lang w:val="es-CL" w:eastAsia="es-ES_tradnl"/>
        </w:rPr>
        <w:t>Vol</w:t>
      </w:r>
      <w:proofErr w:type="spellEnd"/>
      <w:r w:rsidRPr="00E4098C">
        <w:rPr>
          <w:lang w:val="es-CL" w:eastAsia="es-ES_tradnl"/>
        </w:rPr>
        <w:t xml:space="preserve"> 16 N°1, 33-41 Enero- Abril 2012.</w:t>
      </w:r>
    </w:p>
    <w:p w14:paraId="4A894AA1" w14:textId="77777777" w:rsidR="00BD5D56" w:rsidRDefault="00BD5D56" w:rsidP="00BD5D56">
      <w:pPr>
        <w:pStyle w:val="Prrafodelista"/>
        <w:numPr>
          <w:ilvl w:val="0"/>
          <w:numId w:val="5"/>
        </w:numPr>
        <w:rPr>
          <w:lang w:val="en-US" w:eastAsia="es-ES_tradnl"/>
        </w:rPr>
      </w:pPr>
      <w:proofErr w:type="spellStart"/>
      <w:r w:rsidRPr="00BD5D56">
        <w:rPr>
          <w:lang w:val="en-US" w:eastAsia="es-ES_tradnl"/>
        </w:rPr>
        <w:t>Swerdelow</w:t>
      </w:r>
      <w:proofErr w:type="spellEnd"/>
      <w:r w:rsidRPr="00BD5D56">
        <w:rPr>
          <w:lang w:val="en-US" w:eastAsia="es-ES_tradnl"/>
        </w:rPr>
        <w:t xml:space="preserve"> S, et al WHO </w:t>
      </w:r>
      <w:proofErr w:type="spellStart"/>
      <w:r w:rsidRPr="00BD5D56">
        <w:rPr>
          <w:lang w:val="en-US" w:eastAsia="es-ES_tradnl"/>
        </w:rPr>
        <w:t>Classificaction</w:t>
      </w:r>
      <w:proofErr w:type="spellEnd"/>
      <w:r w:rsidRPr="00BD5D56">
        <w:rPr>
          <w:lang w:val="en-US" w:eastAsia="es-ES_tradnl"/>
        </w:rPr>
        <w:t xml:space="preserve"> of </w:t>
      </w:r>
      <w:proofErr w:type="spellStart"/>
      <w:r w:rsidRPr="00BD5D56">
        <w:rPr>
          <w:lang w:val="en-US" w:eastAsia="es-ES_tradnl"/>
        </w:rPr>
        <w:t>Tumours</w:t>
      </w:r>
      <w:proofErr w:type="spellEnd"/>
      <w:r w:rsidRPr="00BD5D56">
        <w:rPr>
          <w:lang w:val="en-US" w:eastAsia="es-ES_tradnl"/>
        </w:rPr>
        <w:t xml:space="preserve"> of </w:t>
      </w:r>
      <w:proofErr w:type="spellStart"/>
      <w:r w:rsidRPr="00BD5D56">
        <w:rPr>
          <w:lang w:val="en-US" w:eastAsia="es-ES_tradnl"/>
        </w:rPr>
        <w:t>hematopoiectic</w:t>
      </w:r>
      <w:proofErr w:type="spellEnd"/>
      <w:r w:rsidRPr="00BD5D56">
        <w:rPr>
          <w:lang w:val="en-US" w:eastAsia="es-ES_tradnl"/>
        </w:rPr>
        <w:t xml:space="preserve"> and </w:t>
      </w:r>
      <w:proofErr w:type="gramStart"/>
      <w:r w:rsidRPr="00BD5D56">
        <w:rPr>
          <w:lang w:val="en-US" w:eastAsia="es-ES_tradnl"/>
        </w:rPr>
        <w:t>Lymphoid</w:t>
      </w:r>
      <w:proofErr w:type="gramEnd"/>
      <w:r w:rsidRPr="00BD5D56">
        <w:rPr>
          <w:lang w:val="en-US" w:eastAsia="es-ES_tradnl"/>
        </w:rPr>
        <w:t xml:space="preserve"> </w:t>
      </w:r>
      <w:proofErr w:type="spellStart"/>
      <w:r w:rsidRPr="00BD5D56">
        <w:rPr>
          <w:lang w:val="en-US" w:eastAsia="es-ES_tradnl"/>
        </w:rPr>
        <w:t>tisues</w:t>
      </w:r>
      <w:proofErr w:type="spellEnd"/>
      <w:r w:rsidRPr="00BD5D56">
        <w:rPr>
          <w:lang w:val="en-US" w:eastAsia="es-ES_tradnl"/>
        </w:rPr>
        <w:t xml:space="preserve">. 2016. </w:t>
      </w:r>
    </w:p>
    <w:p w14:paraId="01EAD83E" w14:textId="77777777" w:rsidR="00BD5D56" w:rsidRDefault="00BD5D56" w:rsidP="00BD5D56">
      <w:pPr>
        <w:pStyle w:val="Prrafodelista"/>
        <w:numPr>
          <w:ilvl w:val="0"/>
          <w:numId w:val="5"/>
        </w:numPr>
        <w:rPr>
          <w:lang w:val="en-US" w:eastAsia="es-ES_tradnl"/>
        </w:rPr>
      </w:pPr>
      <w:r w:rsidRPr="00BD5D56">
        <w:rPr>
          <w:lang w:val="en-US" w:eastAsia="es-ES_tradnl"/>
        </w:rPr>
        <w:t xml:space="preserve">Quesada J, Reuben JR, Manning JT, </w:t>
      </w:r>
      <w:proofErr w:type="spellStart"/>
      <w:r w:rsidRPr="00BD5D56">
        <w:rPr>
          <w:lang w:val="en-US" w:eastAsia="es-ES_tradnl"/>
        </w:rPr>
        <w:t>Hersch</w:t>
      </w:r>
      <w:proofErr w:type="spellEnd"/>
      <w:r w:rsidRPr="00BD5D56">
        <w:rPr>
          <w:lang w:val="en-US" w:eastAsia="es-ES_tradnl"/>
        </w:rPr>
        <w:t xml:space="preserve"> EM, </w:t>
      </w:r>
      <w:proofErr w:type="spellStart"/>
      <w:r w:rsidRPr="00BD5D56">
        <w:rPr>
          <w:lang w:val="en-US" w:eastAsia="es-ES_tradnl"/>
        </w:rPr>
        <w:t>Gutterman</w:t>
      </w:r>
      <w:proofErr w:type="spellEnd"/>
      <w:r w:rsidRPr="00BD5D56">
        <w:rPr>
          <w:lang w:val="en-US" w:eastAsia="es-ES_tradnl"/>
        </w:rPr>
        <w:t xml:space="preserve"> JU. Alpha interferon for the induction of remission in hairy cell leukemia. N </w:t>
      </w:r>
      <w:proofErr w:type="spellStart"/>
      <w:r w:rsidRPr="00BD5D56">
        <w:rPr>
          <w:lang w:val="en-US" w:eastAsia="es-ES_tradnl"/>
        </w:rPr>
        <w:t>Engl</w:t>
      </w:r>
      <w:proofErr w:type="spellEnd"/>
      <w:r w:rsidRPr="00BD5D56">
        <w:rPr>
          <w:lang w:val="en-US" w:eastAsia="es-ES_tradnl"/>
        </w:rPr>
        <w:t xml:space="preserve"> Med 310; 1984: 15-18. </w:t>
      </w:r>
    </w:p>
    <w:p w14:paraId="326418F8" w14:textId="77777777" w:rsidR="00BD5D56" w:rsidRDefault="00BD5D56" w:rsidP="00BD5D56">
      <w:pPr>
        <w:pStyle w:val="Prrafodelista"/>
        <w:numPr>
          <w:ilvl w:val="0"/>
          <w:numId w:val="5"/>
        </w:numPr>
        <w:rPr>
          <w:lang w:val="en-US" w:eastAsia="es-ES_tradnl"/>
        </w:rPr>
      </w:pPr>
      <w:r w:rsidRPr="00BD5D56">
        <w:rPr>
          <w:lang w:val="en-US" w:eastAsia="es-ES_tradnl"/>
        </w:rPr>
        <w:t xml:space="preserve">Else M, </w:t>
      </w:r>
      <w:proofErr w:type="spellStart"/>
      <w:r w:rsidRPr="00BD5D56">
        <w:rPr>
          <w:lang w:val="en-US" w:eastAsia="es-ES_tradnl"/>
        </w:rPr>
        <w:t>Dearden</w:t>
      </w:r>
      <w:proofErr w:type="spellEnd"/>
      <w:r w:rsidRPr="00BD5D56">
        <w:rPr>
          <w:lang w:val="en-US" w:eastAsia="es-ES_tradnl"/>
        </w:rPr>
        <w:t xml:space="preserve"> CE, </w:t>
      </w:r>
      <w:proofErr w:type="spellStart"/>
      <w:r w:rsidRPr="00BD5D56">
        <w:rPr>
          <w:lang w:val="en-US" w:eastAsia="es-ES_tradnl"/>
        </w:rPr>
        <w:t>Matutes</w:t>
      </w:r>
      <w:proofErr w:type="spellEnd"/>
      <w:r w:rsidRPr="00BD5D56">
        <w:rPr>
          <w:lang w:val="en-US" w:eastAsia="es-ES_tradnl"/>
        </w:rPr>
        <w:t xml:space="preserve"> E. et al. Long-term follow-up of 233 patients with hairy cell </w:t>
      </w:r>
      <w:proofErr w:type="spellStart"/>
      <w:r w:rsidRPr="00BD5D56">
        <w:rPr>
          <w:lang w:val="en-US" w:eastAsia="es-ES_tradnl"/>
        </w:rPr>
        <w:t>leukaemia</w:t>
      </w:r>
      <w:proofErr w:type="spellEnd"/>
      <w:r w:rsidRPr="00BD5D56">
        <w:rPr>
          <w:lang w:val="en-US" w:eastAsia="es-ES_tradnl"/>
        </w:rPr>
        <w:t xml:space="preserve">, treated initially with </w:t>
      </w:r>
      <w:proofErr w:type="spellStart"/>
      <w:r w:rsidRPr="00BD5D56">
        <w:rPr>
          <w:lang w:val="en-US" w:eastAsia="es-ES_tradnl"/>
        </w:rPr>
        <w:t>pentostatin</w:t>
      </w:r>
      <w:proofErr w:type="spellEnd"/>
      <w:r w:rsidRPr="00BD5D56">
        <w:rPr>
          <w:lang w:val="en-US" w:eastAsia="es-ES_tradnl"/>
        </w:rPr>
        <w:t xml:space="preserve"> or </w:t>
      </w:r>
      <w:proofErr w:type="spellStart"/>
      <w:r w:rsidRPr="00BD5D56">
        <w:rPr>
          <w:lang w:val="en-US" w:eastAsia="es-ES_tradnl"/>
        </w:rPr>
        <w:t>cladribine</w:t>
      </w:r>
      <w:proofErr w:type="spellEnd"/>
      <w:r w:rsidRPr="00BD5D56">
        <w:rPr>
          <w:lang w:val="en-US" w:eastAsia="es-ES_tradnl"/>
        </w:rPr>
        <w:t xml:space="preserve">, at a median of 16 years from diagnosis. Br J </w:t>
      </w:r>
      <w:proofErr w:type="spellStart"/>
      <w:r w:rsidRPr="00BD5D56">
        <w:rPr>
          <w:lang w:val="en-US" w:eastAsia="es-ES_tradnl"/>
        </w:rPr>
        <w:t>Haematol</w:t>
      </w:r>
      <w:proofErr w:type="spellEnd"/>
      <w:r w:rsidRPr="00BD5D56">
        <w:rPr>
          <w:lang w:val="en-US" w:eastAsia="es-ES_tradnl"/>
        </w:rPr>
        <w:t xml:space="preserve"> 2009; 145(6): 733-740.</w:t>
      </w:r>
    </w:p>
    <w:p w14:paraId="21C5E420" w14:textId="77777777" w:rsidR="00BD5D56" w:rsidRDefault="00BD5D56" w:rsidP="00BD5D56">
      <w:pPr>
        <w:pStyle w:val="Prrafodelista"/>
        <w:numPr>
          <w:ilvl w:val="0"/>
          <w:numId w:val="5"/>
        </w:numPr>
        <w:rPr>
          <w:lang w:val="en-US" w:eastAsia="es-ES_tradnl"/>
        </w:rPr>
      </w:pPr>
      <w:r w:rsidRPr="00BD5D56">
        <w:rPr>
          <w:lang w:val="en-US" w:eastAsia="es-ES_tradnl"/>
        </w:rPr>
        <w:t xml:space="preserve"> </w:t>
      </w:r>
      <w:proofErr w:type="spellStart"/>
      <w:r w:rsidRPr="00BD5D56">
        <w:rPr>
          <w:lang w:val="en-US" w:eastAsia="es-ES_tradnl"/>
        </w:rPr>
        <w:t>Robak</w:t>
      </w:r>
      <w:proofErr w:type="spellEnd"/>
      <w:r w:rsidRPr="00BD5D56">
        <w:rPr>
          <w:lang w:val="en-US" w:eastAsia="es-ES_tradnl"/>
        </w:rPr>
        <w:t xml:space="preserve"> T. Current treatment options in hairy cell leukemia and hairy cell leukemia variant. Cancer Treat Rev 2007; 32(5): 365-376.</w:t>
      </w:r>
    </w:p>
    <w:p w14:paraId="49B33BA6" w14:textId="77777777" w:rsidR="00BD5D56" w:rsidRDefault="00BD5D56" w:rsidP="00BD5D56">
      <w:pPr>
        <w:pStyle w:val="Prrafodelista"/>
        <w:numPr>
          <w:ilvl w:val="0"/>
          <w:numId w:val="5"/>
        </w:numPr>
        <w:rPr>
          <w:lang w:val="en-US" w:eastAsia="es-ES_tradnl"/>
        </w:rPr>
      </w:pPr>
      <w:r w:rsidRPr="00BD5D56">
        <w:rPr>
          <w:lang w:val="en-US" w:eastAsia="es-ES_tradnl"/>
        </w:rPr>
        <w:t xml:space="preserve"> </w:t>
      </w:r>
      <w:proofErr w:type="spellStart"/>
      <w:r w:rsidRPr="00BD5D56">
        <w:rPr>
          <w:lang w:val="en-US" w:eastAsia="es-ES_tradnl"/>
        </w:rPr>
        <w:t>Grever</w:t>
      </w:r>
      <w:proofErr w:type="spellEnd"/>
      <w:r w:rsidRPr="00BD5D56">
        <w:rPr>
          <w:lang w:val="en-US" w:eastAsia="es-ES_tradnl"/>
        </w:rPr>
        <w:t xml:space="preserve"> M.R. How I treat hairy cell leukemia. Blood 2010; 115: 21-27</w:t>
      </w:r>
    </w:p>
    <w:p w14:paraId="0DB79B9C" w14:textId="77777777" w:rsidR="00BD5D56" w:rsidRDefault="00BD5D56" w:rsidP="00BD5D56">
      <w:pPr>
        <w:pStyle w:val="Prrafodelista"/>
        <w:numPr>
          <w:ilvl w:val="0"/>
          <w:numId w:val="5"/>
        </w:numPr>
        <w:rPr>
          <w:lang w:val="en-US" w:eastAsia="es-ES_tradnl"/>
        </w:rPr>
      </w:pPr>
      <w:proofErr w:type="spellStart"/>
      <w:r w:rsidRPr="00BD5D56">
        <w:rPr>
          <w:lang w:val="en-US" w:eastAsia="es-ES_tradnl"/>
        </w:rPr>
        <w:t>Juliusson</w:t>
      </w:r>
      <w:proofErr w:type="spellEnd"/>
      <w:r w:rsidRPr="00BD5D56">
        <w:rPr>
          <w:lang w:val="en-US" w:eastAsia="es-ES_tradnl"/>
        </w:rPr>
        <w:t xml:space="preserve"> G, </w:t>
      </w:r>
      <w:proofErr w:type="spellStart"/>
      <w:r w:rsidRPr="00BD5D56">
        <w:rPr>
          <w:lang w:val="en-US" w:eastAsia="es-ES_tradnl"/>
        </w:rPr>
        <w:t>Liliemark</w:t>
      </w:r>
      <w:proofErr w:type="spellEnd"/>
      <w:r w:rsidRPr="00BD5D56">
        <w:rPr>
          <w:lang w:val="en-US" w:eastAsia="es-ES_tradnl"/>
        </w:rPr>
        <w:t xml:space="preserve"> J. Purine Analogues: Rationale for Development, </w:t>
      </w:r>
      <w:proofErr w:type="spellStart"/>
      <w:r w:rsidRPr="00BD5D56">
        <w:rPr>
          <w:lang w:val="en-US" w:eastAsia="es-ES_tradnl"/>
        </w:rPr>
        <w:t>Mechanismsof</w:t>
      </w:r>
      <w:proofErr w:type="spellEnd"/>
      <w:r w:rsidRPr="00BD5D56">
        <w:rPr>
          <w:lang w:val="en-US" w:eastAsia="es-ES_tradnl"/>
        </w:rPr>
        <w:t xml:space="preserve"> Action, and Pharmacokinetics in Hairy Cell Leukemia. </w:t>
      </w:r>
      <w:proofErr w:type="spellStart"/>
      <w:r w:rsidRPr="00BD5D56">
        <w:rPr>
          <w:lang w:val="en-US" w:eastAsia="es-ES_tradnl"/>
        </w:rPr>
        <w:t>Hematol</w:t>
      </w:r>
      <w:proofErr w:type="spellEnd"/>
      <w:r w:rsidRPr="00BD5D56">
        <w:rPr>
          <w:lang w:val="en-US" w:eastAsia="es-ES_tradnl"/>
        </w:rPr>
        <w:t xml:space="preserve"> </w:t>
      </w:r>
      <w:proofErr w:type="spellStart"/>
      <w:r w:rsidRPr="00BD5D56">
        <w:rPr>
          <w:lang w:val="en-US" w:eastAsia="es-ES_tradnl"/>
        </w:rPr>
        <w:t>O</w:t>
      </w:r>
      <w:r>
        <w:rPr>
          <w:lang w:val="en-US" w:eastAsia="es-ES_tradnl"/>
        </w:rPr>
        <w:t>ncol</w:t>
      </w:r>
      <w:proofErr w:type="spellEnd"/>
      <w:r>
        <w:rPr>
          <w:lang w:val="en-US" w:eastAsia="es-ES_tradnl"/>
        </w:rPr>
        <w:t xml:space="preserve"> </w:t>
      </w:r>
      <w:proofErr w:type="spellStart"/>
      <w:r>
        <w:rPr>
          <w:lang w:val="en-US" w:eastAsia="es-ES_tradnl"/>
        </w:rPr>
        <w:t>Clin</w:t>
      </w:r>
      <w:proofErr w:type="spellEnd"/>
      <w:r>
        <w:rPr>
          <w:lang w:val="en-US" w:eastAsia="es-ES_tradnl"/>
        </w:rPr>
        <w:t xml:space="preserve"> N Am 2006; 1087-1097.</w:t>
      </w:r>
    </w:p>
    <w:p w14:paraId="3222E7C1" w14:textId="77777777" w:rsidR="00845C43" w:rsidRPr="00845C43" w:rsidRDefault="00845C43" w:rsidP="00845C43">
      <w:pPr>
        <w:pStyle w:val="Prrafodelista"/>
        <w:rPr>
          <w:lang w:val="en-US" w:eastAsia="es-ES_tradnl"/>
        </w:rPr>
      </w:pPr>
    </w:p>
    <w:p w14:paraId="3EEEA865" w14:textId="64BF0162" w:rsidR="00845C43" w:rsidRPr="00845C43" w:rsidRDefault="00845C43">
      <w:pPr>
        <w:rPr>
          <w:lang w:val="en-US"/>
        </w:rPr>
      </w:pPr>
    </w:p>
    <w:p w14:paraId="0EA4EC83" w14:textId="77777777" w:rsidR="00845C43" w:rsidRPr="00845C43" w:rsidRDefault="00845C43">
      <w:pPr>
        <w:rPr>
          <w:lang w:val="en-US"/>
        </w:rPr>
      </w:pPr>
    </w:p>
    <w:sectPr w:rsidR="00845C43" w:rsidRPr="00845C43" w:rsidSect="00EE4A9A">
      <w:pgSz w:w="12242" w:h="15842" w:code="1"/>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126B6" w14:textId="77777777" w:rsidR="00CF036D" w:rsidRDefault="00CF036D" w:rsidP="00EE4A9A">
      <w:r>
        <w:separator/>
      </w:r>
    </w:p>
  </w:endnote>
  <w:endnote w:type="continuationSeparator" w:id="0">
    <w:p w14:paraId="78E47512" w14:textId="77777777" w:rsidR="00CF036D" w:rsidRDefault="00CF036D" w:rsidP="00EE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905A0" w14:textId="77777777" w:rsidR="00CF036D" w:rsidRDefault="00CF036D" w:rsidP="00EE4A9A">
      <w:r>
        <w:separator/>
      </w:r>
    </w:p>
  </w:footnote>
  <w:footnote w:type="continuationSeparator" w:id="0">
    <w:p w14:paraId="55D3C175" w14:textId="77777777" w:rsidR="00CF036D" w:rsidRDefault="00CF036D" w:rsidP="00EE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E26B8"/>
    <w:multiLevelType w:val="hybridMultilevel"/>
    <w:tmpl w:val="2D7C3E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CE53CBA"/>
    <w:multiLevelType w:val="hybridMultilevel"/>
    <w:tmpl w:val="2584A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8D7FAB"/>
    <w:multiLevelType w:val="hybridMultilevel"/>
    <w:tmpl w:val="0F7AFA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26B64B57"/>
    <w:multiLevelType w:val="hybridMultilevel"/>
    <w:tmpl w:val="E660AF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4236598A"/>
    <w:multiLevelType w:val="hybridMultilevel"/>
    <w:tmpl w:val="ABA68C4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A9A"/>
    <w:rsid w:val="000F7ADE"/>
    <w:rsid w:val="0022744A"/>
    <w:rsid w:val="00247E3F"/>
    <w:rsid w:val="00283F45"/>
    <w:rsid w:val="00721DA5"/>
    <w:rsid w:val="0073707B"/>
    <w:rsid w:val="0075321A"/>
    <w:rsid w:val="00767494"/>
    <w:rsid w:val="00784FE1"/>
    <w:rsid w:val="00786AE0"/>
    <w:rsid w:val="00844C91"/>
    <w:rsid w:val="00845C43"/>
    <w:rsid w:val="0099159D"/>
    <w:rsid w:val="00BD1CF7"/>
    <w:rsid w:val="00BD5D56"/>
    <w:rsid w:val="00CF036D"/>
    <w:rsid w:val="00D5663B"/>
    <w:rsid w:val="00DF26DD"/>
    <w:rsid w:val="00E4098C"/>
    <w:rsid w:val="00EE4A9A"/>
    <w:rsid w:val="00F67328"/>
    <w:rsid w:val="00FD53A4"/>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P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9A"/>
    <w:rPr>
      <w:rFonts w:ascii="Times New Roman" w:eastAsia="Times New Roman" w:hAnsi="Times New Roman" w:cs="Times New Roman"/>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E4A9A"/>
    <w:pPr>
      <w:tabs>
        <w:tab w:val="center" w:pos="4252"/>
        <w:tab w:val="right" w:pos="8504"/>
      </w:tabs>
    </w:pPr>
  </w:style>
  <w:style w:type="character" w:customStyle="1" w:styleId="EncabezadoCar">
    <w:name w:val="Encabezado Car"/>
    <w:basedOn w:val="Fuentedeprrafopredeter"/>
    <w:link w:val="Encabezado"/>
    <w:uiPriority w:val="99"/>
    <w:rsid w:val="00EE4A9A"/>
    <w:rPr>
      <w:rFonts w:ascii="Times New Roman" w:eastAsia="Times New Roman" w:hAnsi="Times New Roman" w:cs="Times New Roman"/>
      <w:lang w:val="es-CO" w:eastAsia="es-ES"/>
    </w:rPr>
  </w:style>
  <w:style w:type="character" w:styleId="Nmerodepgina">
    <w:name w:val="page number"/>
    <w:basedOn w:val="Fuentedeprrafopredeter"/>
    <w:rsid w:val="00EE4A9A"/>
  </w:style>
  <w:style w:type="paragraph" w:styleId="Prrafodelista">
    <w:name w:val="List Paragraph"/>
    <w:basedOn w:val="Normal"/>
    <w:uiPriority w:val="34"/>
    <w:qFormat/>
    <w:rsid w:val="00EE4A9A"/>
    <w:pPr>
      <w:ind w:left="720"/>
    </w:pPr>
    <w:rPr>
      <w:rFonts w:ascii="Calibri" w:eastAsia="Calibri" w:hAnsi="Calibri"/>
      <w:sz w:val="22"/>
      <w:szCs w:val="22"/>
      <w:lang w:eastAsia="en-US"/>
    </w:rPr>
  </w:style>
  <w:style w:type="paragraph" w:styleId="NormalWeb">
    <w:name w:val="Normal (Web)"/>
    <w:basedOn w:val="Normal"/>
    <w:uiPriority w:val="99"/>
    <w:unhideWhenUsed/>
    <w:rsid w:val="00EE4A9A"/>
    <w:pPr>
      <w:spacing w:before="100" w:beforeAutospacing="1" w:after="100" w:afterAutospacing="1"/>
    </w:pPr>
    <w:rPr>
      <w:lang w:val="es-419" w:eastAsia="es-419"/>
    </w:rPr>
  </w:style>
  <w:style w:type="character" w:customStyle="1" w:styleId="Estilo1">
    <w:name w:val="Estilo1"/>
    <w:basedOn w:val="Fuentedeprrafopredeter"/>
    <w:uiPriority w:val="1"/>
    <w:qFormat/>
    <w:rsid w:val="00EE4A9A"/>
    <w:rPr>
      <w:rFonts w:ascii="Arial" w:hAnsi="Arial"/>
      <w:sz w:val="20"/>
    </w:rPr>
  </w:style>
  <w:style w:type="paragraph" w:customStyle="1" w:styleId="Default">
    <w:name w:val="Default"/>
    <w:rsid w:val="00EE4A9A"/>
    <w:pPr>
      <w:autoSpaceDE w:val="0"/>
      <w:autoSpaceDN w:val="0"/>
      <w:adjustRightInd w:val="0"/>
    </w:pPr>
    <w:rPr>
      <w:rFonts w:ascii="Arial" w:eastAsia="Times New Roman" w:hAnsi="Arial" w:cs="Arial"/>
      <w:color w:val="000000"/>
      <w:lang w:val="es-ES" w:eastAsia="es-ES"/>
    </w:rPr>
  </w:style>
  <w:style w:type="paragraph" w:styleId="Piedepgina">
    <w:name w:val="footer"/>
    <w:basedOn w:val="Normal"/>
    <w:link w:val="PiedepginaCar"/>
    <w:uiPriority w:val="99"/>
    <w:unhideWhenUsed/>
    <w:rsid w:val="00EE4A9A"/>
    <w:pPr>
      <w:tabs>
        <w:tab w:val="center" w:pos="4419"/>
        <w:tab w:val="right" w:pos="8838"/>
      </w:tabs>
    </w:pPr>
  </w:style>
  <w:style w:type="character" w:customStyle="1" w:styleId="PiedepginaCar">
    <w:name w:val="Pie de página Car"/>
    <w:basedOn w:val="Fuentedeprrafopredeter"/>
    <w:link w:val="Piedepgina"/>
    <w:uiPriority w:val="99"/>
    <w:rsid w:val="00EE4A9A"/>
    <w:rPr>
      <w:rFonts w:ascii="Times New Roman" w:eastAsia="Times New Roman" w:hAnsi="Times New Roman" w:cs="Times New Roman"/>
      <w:lang w:val="es-CO" w:eastAsia="es-ES"/>
    </w:rPr>
  </w:style>
  <w:style w:type="paragraph" w:styleId="Textodeglobo">
    <w:name w:val="Balloon Text"/>
    <w:basedOn w:val="Normal"/>
    <w:link w:val="TextodegloboCar"/>
    <w:uiPriority w:val="99"/>
    <w:semiHidden/>
    <w:unhideWhenUsed/>
    <w:rsid w:val="00FD53A4"/>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3A4"/>
    <w:rPr>
      <w:rFonts w:ascii="Tahoma" w:eastAsia="Times New Roman" w:hAnsi="Tahoma" w:cs="Tahoma"/>
      <w:sz w:val="16"/>
      <w:szCs w:val="16"/>
      <w:lang w:val="es-CO" w:eastAsia="es-ES"/>
    </w:rPr>
  </w:style>
  <w:style w:type="paragraph" w:customStyle="1" w:styleId="a">
    <w:basedOn w:val="Normal"/>
    <w:next w:val="Normal"/>
    <w:qFormat/>
    <w:rsid w:val="00FD53A4"/>
    <w:pPr>
      <w:spacing w:before="113" w:after="57" w:line="280" w:lineRule="atLeast"/>
      <w:ind w:left="1701" w:hanging="1701"/>
    </w:pPr>
    <w:rPr>
      <w:rFonts w:ascii="Arial" w:hAnsi="Arial"/>
      <w:b/>
      <w:szCs w:val="20"/>
      <w:lang w:val="en-US" w:eastAsia="ja-JP"/>
    </w:rPr>
  </w:style>
  <w:style w:type="paragraph" w:customStyle="1" w:styleId="Paragraph">
    <w:name w:val="Paragraph"/>
    <w:rsid w:val="00FD53A4"/>
    <w:pPr>
      <w:spacing w:after="120"/>
    </w:pPr>
    <w:rPr>
      <w:rFonts w:ascii="Times New Roman" w:eastAsia="Times New Roman" w:hAnsi="Times New Roman" w:cs="Times New Roman"/>
      <w:szCs w:val="20"/>
      <w:lang w:val="en-US"/>
    </w:rPr>
  </w:style>
  <w:style w:type="paragraph" w:customStyle="1" w:styleId="EntryTextTi10">
    <w:name w:val="EntryText:Ti10"/>
    <w:basedOn w:val="Normal"/>
    <w:rsid w:val="00767494"/>
    <w:pPr>
      <w:spacing w:before="40" w:after="40"/>
    </w:pPr>
    <w:rPr>
      <w:sz w:val="20"/>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P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9A"/>
    <w:rPr>
      <w:rFonts w:ascii="Times New Roman" w:eastAsia="Times New Roman" w:hAnsi="Times New Roman" w:cs="Times New Roman"/>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E4A9A"/>
    <w:pPr>
      <w:tabs>
        <w:tab w:val="center" w:pos="4252"/>
        <w:tab w:val="right" w:pos="8504"/>
      </w:tabs>
    </w:pPr>
  </w:style>
  <w:style w:type="character" w:customStyle="1" w:styleId="EncabezadoCar">
    <w:name w:val="Encabezado Car"/>
    <w:basedOn w:val="Fuentedeprrafopredeter"/>
    <w:link w:val="Encabezado"/>
    <w:uiPriority w:val="99"/>
    <w:rsid w:val="00EE4A9A"/>
    <w:rPr>
      <w:rFonts w:ascii="Times New Roman" w:eastAsia="Times New Roman" w:hAnsi="Times New Roman" w:cs="Times New Roman"/>
      <w:lang w:val="es-CO" w:eastAsia="es-ES"/>
    </w:rPr>
  </w:style>
  <w:style w:type="character" w:styleId="Nmerodepgina">
    <w:name w:val="page number"/>
    <w:basedOn w:val="Fuentedeprrafopredeter"/>
    <w:rsid w:val="00EE4A9A"/>
  </w:style>
  <w:style w:type="paragraph" w:styleId="Prrafodelista">
    <w:name w:val="List Paragraph"/>
    <w:basedOn w:val="Normal"/>
    <w:uiPriority w:val="34"/>
    <w:qFormat/>
    <w:rsid w:val="00EE4A9A"/>
    <w:pPr>
      <w:ind w:left="720"/>
    </w:pPr>
    <w:rPr>
      <w:rFonts w:ascii="Calibri" w:eastAsia="Calibri" w:hAnsi="Calibri"/>
      <w:sz w:val="22"/>
      <w:szCs w:val="22"/>
      <w:lang w:eastAsia="en-US"/>
    </w:rPr>
  </w:style>
  <w:style w:type="paragraph" w:styleId="NormalWeb">
    <w:name w:val="Normal (Web)"/>
    <w:basedOn w:val="Normal"/>
    <w:uiPriority w:val="99"/>
    <w:unhideWhenUsed/>
    <w:rsid w:val="00EE4A9A"/>
    <w:pPr>
      <w:spacing w:before="100" w:beforeAutospacing="1" w:after="100" w:afterAutospacing="1"/>
    </w:pPr>
    <w:rPr>
      <w:lang w:val="es-419" w:eastAsia="es-419"/>
    </w:rPr>
  </w:style>
  <w:style w:type="character" w:customStyle="1" w:styleId="Estilo1">
    <w:name w:val="Estilo1"/>
    <w:basedOn w:val="Fuentedeprrafopredeter"/>
    <w:uiPriority w:val="1"/>
    <w:qFormat/>
    <w:rsid w:val="00EE4A9A"/>
    <w:rPr>
      <w:rFonts w:ascii="Arial" w:hAnsi="Arial"/>
      <w:sz w:val="20"/>
    </w:rPr>
  </w:style>
  <w:style w:type="paragraph" w:customStyle="1" w:styleId="Default">
    <w:name w:val="Default"/>
    <w:rsid w:val="00EE4A9A"/>
    <w:pPr>
      <w:autoSpaceDE w:val="0"/>
      <w:autoSpaceDN w:val="0"/>
      <w:adjustRightInd w:val="0"/>
    </w:pPr>
    <w:rPr>
      <w:rFonts w:ascii="Arial" w:eastAsia="Times New Roman" w:hAnsi="Arial" w:cs="Arial"/>
      <w:color w:val="000000"/>
      <w:lang w:val="es-ES" w:eastAsia="es-ES"/>
    </w:rPr>
  </w:style>
  <w:style w:type="paragraph" w:styleId="Piedepgina">
    <w:name w:val="footer"/>
    <w:basedOn w:val="Normal"/>
    <w:link w:val="PiedepginaCar"/>
    <w:uiPriority w:val="99"/>
    <w:unhideWhenUsed/>
    <w:rsid w:val="00EE4A9A"/>
    <w:pPr>
      <w:tabs>
        <w:tab w:val="center" w:pos="4419"/>
        <w:tab w:val="right" w:pos="8838"/>
      </w:tabs>
    </w:pPr>
  </w:style>
  <w:style w:type="character" w:customStyle="1" w:styleId="PiedepginaCar">
    <w:name w:val="Pie de página Car"/>
    <w:basedOn w:val="Fuentedeprrafopredeter"/>
    <w:link w:val="Piedepgina"/>
    <w:uiPriority w:val="99"/>
    <w:rsid w:val="00EE4A9A"/>
    <w:rPr>
      <w:rFonts w:ascii="Times New Roman" w:eastAsia="Times New Roman" w:hAnsi="Times New Roman" w:cs="Times New Roman"/>
      <w:lang w:val="es-CO" w:eastAsia="es-ES"/>
    </w:rPr>
  </w:style>
  <w:style w:type="paragraph" w:styleId="Textodeglobo">
    <w:name w:val="Balloon Text"/>
    <w:basedOn w:val="Normal"/>
    <w:link w:val="TextodegloboCar"/>
    <w:uiPriority w:val="99"/>
    <w:semiHidden/>
    <w:unhideWhenUsed/>
    <w:rsid w:val="00FD53A4"/>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3A4"/>
    <w:rPr>
      <w:rFonts w:ascii="Tahoma" w:eastAsia="Times New Roman" w:hAnsi="Tahoma" w:cs="Tahoma"/>
      <w:sz w:val="16"/>
      <w:szCs w:val="16"/>
      <w:lang w:val="es-CO" w:eastAsia="es-ES"/>
    </w:rPr>
  </w:style>
  <w:style w:type="paragraph" w:customStyle="1" w:styleId="a">
    <w:basedOn w:val="Normal"/>
    <w:next w:val="Normal"/>
    <w:qFormat/>
    <w:rsid w:val="00FD53A4"/>
    <w:pPr>
      <w:spacing w:before="113" w:after="57" w:line="280" w:lineRule="atLeast"/>
      <w:ind w:left="1701" w:hanging="1701"/>
    </w:pPr>
    <w:rPr>
      <w:rFonts w:ascii="Arial" w:hAnsi="Arial"/>
      <w:b/>
      <w:szCs w:val="20"/>
      <w:lang w:val="en-US" w:eastAsia="ja-JP"/>
    </w:rPr>
  </w:style>
  <w:style w:type="paragraph" w:customStyle="1" w:styleId="Paragraph">
    <w:name w:val="Paragraph"/>
    <w:rsid w:val="00FD53A4"/>
    <w:pPr>
      <w:spacing w:after="120"/>
    </w:pPr>
    <w:rPr>
      <w:rFonts w:ascii="Times New Roman" w:eastAsia="Times New Roman" w:hAnsi="Times New Roman" w:cs="Times New Roman"/>
      <w:szCs w:val="20"/>
      <w:lang w:val="en-US"/>
    </w:rPr>
  </w:style>
  <w:style w:type="paragraph" w:customStyle="1" w:styleId="EntryTextTi10">
    <w:name w:val="EntryText:Ti10"/>
    <w:basedOn w:val="Normal"/>
    <w:rsid w:val="00767494"/>
    <w:pPr>
      <w:spacing w:before="40" w:after="40"/>
    </w:pPr>
    <w:rPr>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50681">
      <w:bodyDiv w:val="1"/>
      <w:marLeft w:val="0"/>
      <w:marRight w:val="0"/>
      <w:marTop w:val="0"/>
      <w:marBottom w:val="0"/>
      <w:divBdr>
        <w:top w:val="none" w:sz="0" w:space="0" w:color="auto"/>
        <w:left w:val="none" w:sz="0" w:space="0" w:color="auto"/>
        <w:bottom w:val="none" w:sz="0" w:space="0" w:color="auto"/>
        <w:right w:val="none" w:sz="0" w:space="0" w:color="auto"/>
      </w:divBdr>
    </w:div>
    <w:div w:id="759178754">
      <w:bodyDiv w:val="1"/>
      <w:marLeft w:val="0"/>
      <w:marRight w:val="0"/>
      <w:marTop w:val="0"/>
      <w:marBottom w:val="0"/>
      <w:divBdr>
        <w:top w:val="none" w:sz="0" w:space="0" w:color="auto"/>
        <w:left w:val="none" w:sz="0" w:space="0" w:color="auto"/>
        <w:bottom w:val="none" w:sz="0" w:space="0" w:color="auto"/>
        <w:right w:val="none" w:sz="0" w:space="0" w:color="auto"/>
      </w:divBdr>
    </w:div>
    <w:div w:id="815099485">
      <w:bodyDiv w:val="1"/>
      <w:marLeft w:val="0"/>
      <w:marRight w:val="0"/>
      <w:marTop w:val="0"/>
      <w:marBottom w:val="0"/>
      <w:divBdr>
        <w:top w:val="none" w:sz="0" w:space="0" w:color="auto"/>
        <w:left w:val="none" w:sz="0" w:space="0" w:color="auto"/>
        <w:bottom w:val="none" w:sz="0" w:space="0" w:color="auto"/>
        <w:right w:val="none" w:sz="0" w:space="0" w:color="auto"/>
      </w:divBdr>
    </w:div>
    <w:div w:id="968172848">
      <w:bodyDiv w:val="1"/>
      <w:marLeft w:val="0"/>
      <w:marRight w:val="0"/>
      <w:marTop w:val="0"/>
      <w:marBottom w:val="0"/>
      <w:divBdr>
        <w:top w:val="none" w:sz="0" w:space="0" w:color="auto"/>
        <w:left w:val="none" w:sz="0" w:space="0" w:color="auto"/>
        <w:bottom w:val="none" w:sz="0" w:space="0" w:color="auto"/>
        <w:right w:val="none" w:sz="0" w:space="0" w:color="auto"/>
      </w:divBdr>
    </w:div>
    <w:div w:id="1765688756">
      <w:bodyDiv w:val="1"/>
      <w:marLeft w:val="0"/>
      <w:marRight w:val="0"/>
      <w:marTop w:val="0"/>
      <w:marBottom w:val="0"/>
      <w:divBdr>
        <w:top w:val="none" w:sz="0" w:space="0" w:color="auto"/>
        <w:left w:val="none" w:sz="0" w:space="0" w:color="auto"/>
        <w:bottom w:val="none" w:sz="0" w:space="0" w:color="auto"/>
        <w:right w:val="none" w:sz="0" w:space="0" w:color="auto"/>
      </w:divBdr>
    </w:div>
    <w:div w:id="17933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0F3FD8A07C2441BAE55AA86B126774"/>
        <w:category>
          <w:name w:val="General"/>
          <w:gallery w:val="placeholder"/>
        </w:category>
        <w:types>
          <w:type w:val="bbPlcHdr"/>
        </w:types>
        <w:behaviors>
          <w:behavior w:val="content"/>
        </w:behaviors>
        <w:guid w:val="{67D91232-0B91-7B4B-80AA-1C4F079354B0}"/>
      </w:docPartPr>
      <w:docPartBody>
        <w:p w:rsidR="004C5052" w:rsidRDefault="00AF41A3" w:rsidP="00AF41A3">
          <w:pPr>
            <w:pStyle w:val="150F3FD8A07C2441BAE55AA86B126774"/>
          </w:pPr>
          <w:r>
            <w:rPr>
              <w:rStyle w:val="Estilo1"/>
              <w:b/>
              <w:color w:val="000000" w:themeColor="text1"/>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A3"/>
    <w:rsid w:val="002E7B74"/>
    <w:rsid w:val="003806AA"/>
    <w:rsid w:val="004C5052"/>
    <w:rsid w:val="00675ABF"/>
    <w:rsid w:val="006B259E"/>
    <w:rsid w:val="00763AD1"/>
    <w:rsid w:val="00A97E00"/>
    <w:rsid w:val="00AF41A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PY"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1">
    <w:name w:val="Estilo1"/>
    <w:basedOn w:val="Fuentedeprrafopredeter"/>
    <w:uiPriority w:val="1"/>
    <w:qFormat/>
    <w:rsid w:val="00AF41A3"/>
    <w:rPr>
      <w:rFonts w:ascii="Arial" w:hAnsi="Arial"/>
      <w:sz w:val="20"/>
    </w:rPr>
  </w:style>
  <w:style w:type="paragraph" w:customStyle="1" w:styleId="150F3FD8A07C2441BAE55AA86B126774">
    <w:name w:val="150F3FD8A07C2441BAE55AA86B126774"/>
    <w:rsid w:val="00AF41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PY"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1">
    <w:name w:val="Estilo1"/>
    <w:basedOn w:val="Fuentedeprrafopredeter"/>
    <w:uiPriority w:val="1"/>
    <w:qFormat/>
    <w:rsid w:val="00AF41A3"/>
    <w:rPr>
      <w:rFonts w:ascii="Arial" w:hAnsi="Arial"/>
      <w:sz w:val="20"/>
    </w:rPr>
  </w:style>
  <w:style w:type="paragraph" w:customStyle="1" w:styleId="150F3FD8A07C2441BAE55AA86B126774">
    <w:name w:val="150F3FD8A07C2441BAE55AA86B126774"/>
    <w:rsid w:val="00AF4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2180</Words>
  <Characters>11996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von Glasenapp</dc:creator>
  <cp:lastModifiedBy>Macarena</cp:lastModifiedBy>
  <cp:revision>5</cp:revision>
  <dcterms:created xsi:type="dcterms:W3CDTF">2022-10-25T20:15:00Z</dcterms:created>
  <dcterms:modified xsi:type="dcterms:W3CDTF">2022-11-08T20:24:00Z</dcterms:modified>
</cp:coreProperties>
</file>